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NewRomanPSMT" w:hAnsi="TimesNewRomanPSMT" w:eastAsia="TimesNewRomanPSMT" w:cs="TimesNewRomanPSMT"/>
          <w:sz w:val="36"/>
          <w:u w:val="single"/>
        </w:rPr>
      </w:pPr>
      <w:r>
        <w:rPr>
          <w:rFonts w:eastAsia="TimesNewRomanPSMT" w:cs="TimesNewRomanPSMT" w:ascii="TimesNewRomanPSMT" w:hAnsi="TimesNewRomanPSMT"/>
          <w:sz w:val="36"/>
          <w:u w:val="single"/>
        </w:rPr>
        <w:t>ITIS Leonardo da Vinci</w:t>
      </w:r>
    </w:p>
    <w:p>
      <w:pPr>
        <w:pStyle w:val="Normal"/>
        <w:spacing w:lineRule="auto" w:line="240" w:before="0" w:after="0"/>
        <w:jc w:val="center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Arial" w:cs="Arial" w:ascii="Arial" w:hAnsi="Arial"/>
          <w:b/>
          <w:sz w:val="24"/>
        </w:rPr>
        <w:t>PROGRAMMA DI MICROBIOLOGIA a.s. 2022-2023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Arial" w:cs="Arial" w:ascii="Arial" w:hAnsi="Arial"/>
          <w:sz w:val="24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eastAsia="Arial" w:cs="Arial" w:ascii="Arial" w:hAnsi="Arial"/>
          <w:b/>
          <w:sz w:val="26"/>
          <w:szCs w:val="26"/>
        </w:rPr>
        <w:t>Classe 5 A Biotecnologie ambientali</w:t>
      </w:r>
    </w:p>
    <w:p>
      <w:pPr>
        <w:pStyle w:val="Normal"/>
        <w:spacing w:lineRule="auto" w:line="240" w:before="0" w:after="0"/>
        <w:jc w:val="center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eastAsia="TimesNewRomanPSMT" w:cs="TimesNewRomanPSMT" w:ascii="TimesNewRomanPSMT" w:hAnsi="TimesNewRomanPSMT"/>
          <w:b/>
          <w:sz w:val="26"/>
          <w:szCs w:val="26"/>
        </w:rPr>
        <w:t>Biologia, microbiologia e tecnologie di controllo ambientale</w:t>
      </w:r>
    </w:p>
    <w:p>
      <w:pPr>
        <w:pStyle w:val="Normal"/>
        <w:spacing w:lineRule="auto" w:line="240" w:before="0" w:after="0"/>
        <w:jc w:val="center"/>
        <w:rPr>
          <w:rFonts w:ascii="TimesNewRomanPSMT" w:hAnsi="TimesNewRomanPSMT" w:eastAsia="TimesNewRomanPSMT" w:cs="TimesNewRomanPSMT"/>
          <w:b/>
          <w:b/>
          <w:sz w:val="26"/>
          <w:szCs w:val="26"/>
        </w:rPr>
      </w:pPr>
      <w:r>
        <w:rPr>
          <w:rFonts w:eastAsia="TimesNewRomanPSMT" w:cs="TimesNewRomanPSMT" w:ascii="TimesNewRomanPSMT" w:hAnsi="TimesNewRomanPSMT"/>
          <w:b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eastAsia="TimesNewRomanPSMT" w:cs="TimesNewRomanPSMT" w:ascii="TimesNewRomanPSMT" w:hAnsi="TimesNewRomanPSMT"/>
          <w:b/>
          <w:sz w:val="26"/>
          <w:szCs w:val="26"/>
        </w:rPr>
        <w:t>Prof.ssa Giovanna Cacciapuoti – Prof. Gabriele Gatti</w:t>
      </w:r>
    </w:p>
    <w:p>
      <w:pPr>
        <w:pStyle w:val="Normal"/>
        <w:spacing w:lineRule="auto" w:line="240" w:before="0" w:after="0"/>
        <w:jc w:val="center"/>
        <w:rPr>
          <w:rFonts w:ascii="TimesNewRomanPSMT" w:hAnsi="TimesNewRomanPSMT" w:eastAsia="TimesNewRomanPSMT" w:cs="TimesNewRomanPSMT"/>
          <w:b/>
          <w:b/>
          <w:sz w:val="24"/>
        </w:rPr>
      </w:pPr>
      <w:r>
        <w:rPr>
          <w:rFonts w:eastAsia="TimesNewRomanPSMT" w:cs="TimesNewRomanPSMT" w:ascii="TimesNewRomanPSMT" w:hAnsi="TimesNewRomanPSMT"/>
          <w:b/>
          <w:sz w:val="24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NewRomanPSMT" w:cs="TimesNewRomanPSMT" w:ascii="TimesNewRomanPSMT" w:hAnsi="TimesNewRomanPSMT"/>
          <w:b/>
          <w:bCs/>
          <w:sz w:val="26"/>
          <w:szCs w:val="26"/>
          <w:u w:val="single"/>
        </w:rPr>
        <w:t>TESTO</w:t>
      </w:r>
      <w:r>
        <w:rPr>
          <w:rFonts w:eastAsia="TimesNewRomanPSMT" w:cs="TimesNewRomanPSMT" w:ascii="TimesNewRomanPSMT" w:hAnsi="TimesNewRomanPSMT"/>
          <w:b/>
          <w:bCs/>
          <w:sz w:val="26"/>
          <w:szCs w:val="26"/>
        </w:rPr>
        <w:t>: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NewRomanPSMT" w:cs="TimesNewRomanPSMT" w:ascii="TimesNewRomanPSMT" w:hAnsi="TimesNewRomanPSMT"/>
          <w:sz w:val="26"/>
          <w:szCs w:val="26"/>
        </w:rPr>
        <w:t>Fabio Fanti.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NewRomanPSMT" w:cs="TimesNewRomanPSMT" w:ascii="TimesNewRomanPSMT" w:hAnsi="TimesNewRomanPSMT"/>
          <w:sz w:val="26"/>
          <w:szCs w:val="26"/>
        </w:rPr>
        <w:t>BIOLOGIA, MICROBIOLOGIA E BIOTECNOLOGIE. Tecnologie di controllo ambientale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NewRomanPSMT" w:cs="TimesNewRomanPSMT" w:ascii="TimesNewRomanPSMT" w:hAnsi="TimesNewRomanPSMT"/>
          <w:sz w:val="26"/>
          <w:szCs w:val="26"/>
        </w:rPr>
        <w:t>SCIENZE ZANICHELLI</w:t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  <w:sz w:val="24"/>
        </w:rPr>
      </w:pPr>
      <w:r>
        <w:rPr>
          <w:rFonts w:eastAsia="TimesNewRomanPSMT" w:cs="TimesNewRomanPSMT" w:ascii="TimesNewRomanPSMT" w:hAnsi="TimesNewRomanPSMT"/>
          <w:sz w:val="24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NewRomanPSMT" w:cs="TimesNewRomanPSMT" w:ascii="TimesNewRomanPSMT" w:hAnsi="TimesNewRomanPSMT"/>
          <w:b/>
          <w:sz w:val="26"/>
          <w:szCs w:val="26"/>
          <w:u w:val="single"/>
        </w:rPr>
        <w:t>TEORIA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NewRomanPSMT" w:cs="TimesNewRomanPSMT" w:ascii="TimesNewRomanPSMT" w:hAnsi="TimesNewRomanPSMT"/>
          <w:b/>
          <w:sz w:val="26"/>
          <w:szCs w:val="26"/>
          <w:u w:val="single"/>
        </w:rPr>
        <w:t>PRIMO PERIODO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NewRomanPSMT" w:cs="TimesNewRomanPSMT" w:ascii="TimesNewRomanPSMT" w:hAnsi="TimesNewRomanPSMT"/>
          <w:sz w:val="26"/>
          <w:szCs w:val="26"/>
          <w:u w:val="single"/>
        </w:rPr>
        <w:t>CICLO INTEGRATO DELL'ACQUA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4"/>
        </w:rPr>
      </w:pPr>
      <w:r>
        <w:rPr>
          <w:rFonts w:eastAsia="TimesNewRomanPS-BoldMT" w:cs="TimesNewRomanPS-BoldMT" w:ascii="TimesNewRomanPS-BoldMT" w:hAnsi="TimesNewRomanPS-BoldMT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Ciclo naturale e ciclo integrato dell’acqua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Le riserve naturali di acqua e la loro captazione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Captazione da corsi d’acqua e da bacini lacustri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Adduzione delle acque captate, trattamenti di potabilizzazione e distribuzione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Potabilizzazione delle acque telluriche di falda o sorgente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Potabilizzazione delle acque dolci superficiali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Desalinizzazione dell’acqua di mare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Raccolta e depurazione delle acque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4"/>
        </w:rPr>
      </w:pPr>
      <w:r>
        <w:rPr>
          <w:rFonts w:eastAsia="TimesNewRomanPS-BoldMT" w:cs="TimesNewRomanPS-BoldMT" w:ascii="TimesNewRomanPS-BoldMT" w:hAnsi="TimesNewRomanPS-BoldMT"/>
          <w:sz w:val="24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  <w:u w:val="single"/>
        </w:rPr>
      </w:pPr>
      <w:r>
        <w:rPr>
          <w:rFonts w:eastAsia="TimesNewRomanPSMT" w:cs="TimesNewRomanPSMT" w:ascii="TimesNewRomanPSMT" w:hAnsi="TimesNewRomanPSMT"/>
          <w:sz w:val="26"/>
          <w:szCs w:val="26"/>
          <w:u w:val="single"/>
        </w:rPr>
        <w:t>TECNOLOGIE PER LA DEPURAZIONE DELLE ACQUE REFLUE</w:t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</w:rPr>
      </w:pPr>
      <w:r>
        <w:rPr>
          <w:rFonts w:eastAsia="TimesNewRomanPSMT" w:cs="TimesNewRomanPSMT" w:ascii="TimesNewRomanPSMT" w:hAnsi="TimesNewRomanPSMT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Gradi di inquinamento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Le acque di rifiuto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Autodepurazione delle acque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Biodegradabilità dei reflui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Indicatori di inquinamento organico e biodegradabilità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Altri parametri chimico-fisici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  <w:u w:val="single"/>
        </w:rPr>
      </w:pPr>
      <w:r>
        <w:rPr>
          <w:rFonts w:eastAsia="TimesNewRomanPSMT" w:cs="TimesNewRomanPSMT" w:ascii="TimesNewRomanPSMT" w:hAnsi="TimesNewRomanPSMT"/>
          <w:sz w:val="26"/>
          <w:szCs w:val="26"/>
          <w:u w:val="single"/>
        </w:rPr>
        <w:t>IMPIANTI DI DEPURAZIONE DELLE ACQUE REFLUE</w:t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</w:rPr>
      </w:pPr>
      <w:r>
        <w:rPr>
          <w:rFonts w:eastAsia="TimesNewRomanPSMT" w:cs="TimesNewRomanPSMT" w:ascii="TimesNewRomanPSMT" w:hAnsi="TimesNewRomanPSMT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Depurazione dei liquami in singoli edifici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Impianti di depurazione delle acque reflue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Trattamento primario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Trattamento secondario o biologico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Fattori che influiscono sulla depurazione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Sistemi a biomassa adesa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Sistemi a biomassa libera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Monitoraggio biologico dei fanghi attivi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Trattamenti anaerobi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Trattamento terziario o finale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Gestione dei prodotti dell’impianto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NewRomanPSMT" w:cs="TimesNewRomanPSMT" w:ascii="TimesNewRomanPSMT" w:hAnsi="TimesNewRomanPSMT"/>
          <w:b/>
          <w:sz w:val="26"/>
          <w:szCs w:val="26"/>
          <w:u w:val="single"/>
        </w:rPr>
        <w:t>SECONDO PERIODO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  <w:u w:val="single"/>
        </w:rPr>
      </w:pPr>
      <w:r>
        <w:rPr>
          <w:rFonts w:eastAsia="TimesNewRomanPSMT" w:cs="TimesNewRomanPSMT" w:ascii="TimesNewRomanPSMT" w:hAnsi="TimesNewRomanPSMT"/>
          <w:sz w:val="26"/>
          <w:szCs w:val="26"/>
          <w:u w:val="single"/>
        </w:rPr>
        <w:t>TECNOLOGIE NATURALI PER LA DEPURAZIONE DEI REFLUI</w:t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</w:rPr>
      </w:pPr>
      <w:r>
        <w:rPr>
          <w:rFonts w:eastAsia="TimesNewRomanPSMT" w:cs="TimesNewRomanPSMT" w:ascii="TimesNewRomanPSMT" w:hAnsi="TimesNewRomanPSMT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Gli stagni biologici (lagunaggio)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La fitodepurazione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Sistemi a flusso superficiale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Sistemi a flusso sommerso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Ruolo delle piante nella fitodepurazione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  <w:u w:val="single"/>
        </w:rPr>
      </w:pPr>
      <w:r>
        <w:rPr>
          <w:rFonts w:eastAsia="TimesNewRomanPSMT" w:cs="TimesNewRomanPSMT" w:ascii="TimesNewRomanPSMT" w:hAnsi="TimesNewRomanPSMT"/>
          <w:sz w:val="26"/>
          <w:szCs w:val="26"/>
          <w:u w:val="single"/>
        </w:rPr>
        <w:t>COMPOST</w:t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</w:rPr>
      </w:pPr>
      <w:r>
        <w:rPr>
          <w:rFonts w:eastAsia="TimesNewRomanPSMT" w:cs="TimesNewRomanPSMT" w:ascii="TimesNewRomanPSMT" w:hAnsi="TimesNewRomanPSMT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Produzione di compost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Schema del processo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I microrganismi responsabili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I fattori condizionanti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Tecnologie utilizzate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  <w:u w:val="single"/>
        </w:rPr>
      </w:pPr>
      <w:r>
        <w:rPr>
          <w:rFonts w:eastAsia="TimesNewRomanPSMT" w:cs="TimesNewRomanPSMT" w:ascii="TimesNewRomanPSMT" w:hAnsi="TimesNewRomanPSMT"/>
          <w:sz w:val="26"/>
          <w:szCs w:val="26"/>
          <w:u w:val="single"/>
        </w:rPr>
        <w:t>TRATTAMENTO DEI SUOLI INQUINATI E BIORISANAMENTO</w:t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</w:rPr>
      </w:pPr>
      <w:r>
        <w:rPr>
          <w:rFonts w:eastAsia="TimesNewRomanPSMT" w:cs="TimesNewRomanPSMT" w:ascii="TimesNewRomanPSMT" w:hAnsi="TimesNewRomanPSMT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Siti contaminati e biorisanamento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Analisi dei rischi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Microrganismi e degradazione degli inquinanti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Fattori di biodegradabilità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Tecnologie di biorisanamento (bioremediation) in situ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Tecnologie di biorisanamento ex situ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Bioreattori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  <w:u w:val="single"/>
        </w:rPr>
      </w:pPr>
      <w:r>
        <w:rPr>
          <w:rFonts w:eastAsia="TimesNewRomanPS-BoldMT" w:cs="TimesNewRomanPS-BoldMT" w:ascii="TimesNewRomanPS-BoldMT" w:hAnsi="TimesNewRomanPS-BoldMT"/>
          <w:sz w:val="26"/>
          <w:szCs w:val="26"/>
          <w:u w:val="single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  <w:u w:val="single"/>
        </w:rPr>
      </w:pPr>
      <w:r>
        <w:rPr>
          <w:rFonts w:eastAsia="TimesNewRomanPSMT" w:cs="TimesNewRomanPSMT" w:ascii="TimesNewRomanPSMT" w:hAnsi="TimesNewRomanPSMT"/>
          <w:sz w:val="26"/>
          <w:szCs w:val="26"/>
          <w:u w:val="single"/>
        </w:rPr>
        <w:t>BIODEGRADAZIONE DEI COMPOSTI ORGANICI NATURALI E DI SINTESI</w:t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</w:rPr>
      </w:pPr>
      <w:r>
        <w:rPr>
          <w:rFonts w:eastAsia="TimesNewRomanPSMT" w:cs="TimesNewRomanPSMT" w:ascii="TimesNewRomanPSMT" w:hAnsi="TimesNewRomanPSMT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Biodegradabilità e fattori condizionanti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Biodegradazione dei derivati del petrolio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Biodegradazione aerobia degli idrocarburi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Biodegradazione aerobia dello xilene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Biodegradazione degli idrocarburi policiclici aromatici (IPA)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Biodegradazione anaerobia degli idrocarburi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Biodegradazione degli xenobiotici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Biodegradazione dei composti organici alogenati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Biodegradazione dei PCB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Aspetti genetici del metabolismo biodegradativo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  <w:u w:val="single"/>
        </w:rPr>
      </w:pPr>
      <w:r>
        <w:rPr>
          <w:rFonts w:eastAsia="TimesNewRomanPSMT" w:cs="TimesNewRomanPSMT" w:ascii="TimesNewRomanPSMT" w:hAnsi="TimesNewRomanPSMT"/>
          <w:sz w:val="26"/>
          <w:szCs w:val="26"/>
          <w:u w:val="single"/>
        </w:rPr>
        <w:t>MICRORGANISMI GENETICAMENTE MODIFICATI E BIORISANAMENTO</w:t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</w:rPr>
      </w:pPr>
      <w:r>
        <w:rPr>
          <w:rFonts w:eastAsia="TimesNewRomanPSMT" w:cs="TimesNewRomanPSMT" w:ascii="TimesNewRomanPSMT" w:hAnsi="TimesNewRomanPSMT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MGM e biorisanamento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Trasferimento di geni estranei nei procarioti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Identificazione delle cellule trasformate, integrazione ed espressione del transgene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MGM: trasferimento di geni già esistenti in altro ospite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Modificazione dei geni codificanti enzimi degradativi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Modifica delle proteine di regolazione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Incremento della biodisponibilità degli inquinanti idrofobici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Immissione di MGM in ambiente: capacità di sopravvivenza e stabilità genetica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Effetti degli MGM sui microrganismi autoctoni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I ceppi microbici suicidi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  <w:u w:val="single"/>
        </w:rPr>
      </w:pPr>
      <w:r>
        <w:rPr>
          <w:rFonts w:eastAsia="TimesNewRomanPSMT" w:cs="TimesNewRomanPSMT" w:ascii="TimesNewRomanPSMT" w:hAnsi="TimesNewRomanPSMT"/>
          <w:sz w:val="26"/>
          <w:szCs w:val="26"/>
          <w:u w:val="single"/>
        </w:rPr>
        <w:t>LE EMISSIONI INQUINANTI IN ATMOSFERA</w:t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</w:rPr>
      </w:pPr>
      <w:r>
        <w:rPr>
          <w:rFonts w:eastAsia="TimesNewRomanPSMT" w:cs="TimesNewRomanPSMT" w:ascii="TimesNewRomanPSMT" w:hAnsi="TimesNewRomanPSMT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Emissioni nell’atmosfera  non inquinata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Emissioni inquinanti in atmosfera: i macroinquinanti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I microinquinanti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COV, NOx e smog fotochimico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Reazioni che portano allo smog fotochimico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  <w:u w:val="single"/>
        </w:rPr>
      </w:pPr>
      <w:r>
        <w:rPr>
          <w:rFonts w:eastAsia="TimesNewRomanPSMT" w:cs="TimesNewRomanPSMT" w:ascii="TimesNewRomanPSMT" w:hAnsi="TimesNewRomanPSMT"/>
          <w:sz w:val="26"/>
          <w:szCs w:val="26"/>
          <w:u w:val="single"/>
        </w:rPr>
        <w:t>RIMOZIONE DELLE EMISSIONI INQUINANTI</w:t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</w:rPr>
      </w:pPr>
      <w:r>
        <w:rPr>
          <w:rFonts w:eastAsia="TimesNewRomanPSMT" w:cs="TimesNewRomanPSMT" w:ascii="TimesNewRomanPSMT" w:hAnsi="TimesNewRomanPSMT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Convertitori catalitici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Emissioni industriali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Rimozione per adsorbimento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Biofiltrazione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Abbattimento per mezzo di condensazione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Sistemi di rimozione a umido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Combustione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Rimozione del particolato: filtri a tessuto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Precipitazione elettrostatica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MT" w:cs="TimesNewRomanPSMT" w:ascii="TimesNewRomanPSMT" w:hAnsi="TimesNewRomanPSMT"/>
          <w:sz w:val="26"/>
          <w:szCs w:val="26"/>
          <w:u w:val="single"/>
        </w:rPr>
        <w:t>RSU: RICICLO, RACCOLTA DIFFERENZIATA, SMALTIMENTO</w:t>
      </w:r>
      <w:r>
        <w:rPr>
          <w:rFonts w:eastAsia="TimesNewRomanPSMT" w:cs="TimesNewRomanPSMT" w:ascii="TimesNewRomanPSMT" w:hAnsi="TimesNewRomanPSMT"/>
          <w:sz w:val="26"/>
          <w:szCs w:val="26"/>
        </w:rPr>
        <w:t xml:space="preserve"> (EDUCAZIONE CIVICA)</w:t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</w:rPr>
      </w:pPr>
      <w:r>
        <w:rPr>
          <w:rFonts w:eastAsia="TimesNewRomanPSMT" w:cs="TimesNewRomanPSMT" w:ascii="TimesNewRomanPSMT" w:hAnsi="TimesNewRomanPSMT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RSU, normativa nazionale e direttiva CE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Raccolta differenziata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Il riciclo dei materiali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MT" w:cs="TimesNewRomanPSMT" w:ascii="TimesNewRomanPSMT" w:hAnsi="TimesNewRomanPSMT"/>
          <w:sz w:val="26"/>
          <w:szCs w:val="26"/>
          <w:u w:val="single"/>
        </w:rPr>
        <w:t>TECNOLOGIE DI SMALTIMENTO DEGLI RSU</w:t>
      </w:r>
      <w:r>
        <w:rPr>
          <w:rFonts w:eastAsia="TimesNewRomanPSMT" w:cs="TimesNewRomanPSMT" w:ascii="TimesNewRomanPSMT" w:hAnsi="TimesNewRomanPSMT"/>
          <w:sz w:val="26"/>
          <w:szCs w:val="26"/>
        </w:rPr>
        <w:t xml:space="preserve"> </w:t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</w:rPr>
      </w:pPr>
      <w:r>
        <w:rPr>
          <w:rFonts w:eastAsia="TimesNewRomanPSMT" w:cs="TimesNewRomanPSMT" w:ascii="TimesNewRomanPSMT" w:hAnsi="TimesNewRomanPSMT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 xml:space="preserve">Rifiuti differenziati e indifferenziati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 xml:space="preserve">Smaltimento dei rifiuti: interramento in discarica controllata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Processi di decomposizione dei rifiuti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Smaltimento dei rifiuti: incenerimento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Reazioni chimiche nei processi di incenerimento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Tecnologie di incenerimento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Abbattimento delle emissioni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MT" w:cs="TimesNewRomanPSMT" w:ascii="TimesNewRomanPSMT" w:hAnsi="TimesNewRomanPSMT"/>
          <w:sz w:val="26"/>
          <w:szCs w:val="26"/>
          <w:u w:val="single"/>
        </w:rPr>
        <w:t>INQUINANTI XENOBIOTICI E MUTAGENESI AMBIENTALE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NewRomanPS-BoldMT" w:hAnsi="TimesNewRomanPS-BoldMT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MT" w:cs="TimesNewRomanPSMT" w:ascii="TimesNewRomanPSMT" w:hAnsi="TimesNewRomanPSMT"/>
          <w:sz w:val="26"/>
          <w:szCs w:val="26"/>
        </w:rPr>
        <w:t>Genotossicità e cancerogenesi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Le mutazioni: alcune nozioni indispensabili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Mutageni fisici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Mutageni chimici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Fonti di esposizione a sostanze chimiche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Meccanismi di riparazione del DNA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Destino degli xenobiotici nell’ organismo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Metabolismo degli xenobiotici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Tossicogenetica e polimorfismi metabolici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Esempi di attivazione metabolica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Controlli di genotossicità su matrici ambientali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NewRomanPS-BoldMT" w:hAnsi="TimesNewRomanPS-BoldMT"/>
          <w:sz w:val="26"/>
          <w:szCs w:val="26"/>
        </w:rPr>
      </w:r>
    </w:p>
    <w:p>
      <w:pPr>
        <w:pStyle w:val="Normal"/>
        <w:spacing w:lineRule="auto" w:line="240" w:before="0" w:after="0"/>
        <w:rPr>
          <w:u w:val="single"/>
        </w:rPr>
      </w:pPr>
      <w:r>
        <w:rPr>
          <w:rFonts w:eastAsia="TimesNewRomanPS-BoldMT" w:cs="TimesNewRomanPS-BoldMT" w:ascii="Times New Roman" w:hAnsi="Times New Roman"/>
          <w:sz w:val="26"/>
          <w:szCs w:val="26"/>
          <w:u w:val="single"/>
        </w:rPr>
        <w:t>ESPOSIZIONE PROFESSIONALE E VALUTAZIONE DEL DANNO DA XENOBIOTICI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NewRomanPS-BoldMT" w:hAnsi="TimesNewRomanPS-BoldMT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MT" w:cs="TimesNewRomanPSMT" w:ascii="TimesNewRomanPSMT" w:hAnsi="TimesNewRomanPSMT"/>
          <w:sz w:val="26"/>
          <w:szCs w:val="26"/>
        </w:rPr>
        <w:t>Esposizione professionale e biomarcatori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Biomarcatori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Aspetti normativi e  linee guida comunitarie</w:t>
      </w:r>
    </w:p>
    <w:p>
      <w:pPr>
        <w:pStyle w:val="Normal"/>
        <w:spacing w:lineRule="auto" w:line="240" w:before="0" w:after="0"/>
        <w:rPr>
          <w:rFonts w:ascii="TimesNewRomanPS-BoldMT" w:hAnsi="TimesNewRomanPS-BoldMT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NewRomanPS-BoldMT" w:hAnsi="TimesNewRomanPS-BoldMT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NewRomanPSMT" w:cs="TimesNewRomanPSMT" w:ascii="TimesNewRomanPSMT" w:hAnsi="TimesNewRomanPSMT"/>
          <w:b/>
          <w:sz w:val="26"/>
          <w:szCs w:val="26"/>
          <w:u w:val="single"/>
        </w:rPr>
        <w:t>LABORATORIO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b/>
          <w:bCs/>
          <w:sz w:val="26"/>
          <w:szCs w:val="26"/>
          <w:u w:val="single"/>
        </w:rPr>
        <w:t>LEZIONE SULLA SICUREZZA CHIMICA IN AMBITO INDUSTRIALE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b/>
          <w:bCs/>
          <w:sz w:val="26"/>
          <w:szCs w:val="26"/>
          <w:u w:val="single"/>
        </w:rPr>
        <w:t>ANALISI DELLE ACQUE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Filtrazione su membrana per ricerca dei coliformi a 37 C°.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Semina su terreno YEA per carica microbica totale a 22 C° e a 37 C°.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Semina su terreno M-ENDO agar (selettivo per coliformi); test dell’ ossidasi, campanella di Dhuram e colorazione di Gram sulle colonie cresciute su M-ENDO agar.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Ricerca enterococchi su SLANETZ-BARTLEY agar con TTC con filtrazione su membrana (prova predittiva) e su VIOLET RED BILE agar (prova di conferma). Conta delle colonie.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Ricerca Pseudomonas su PSA con filtrazione su membrana.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b/>
          <w:bCs/>
          <w:sz w:val="26"/>
          <w:szCs w:val="26"/>
          <w:u w:val="single"/>
        </w:rPr>
        <w:t>ANALISI DELLE SUPERFICI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Utilizzo di tamponi sterili per l’analisi della superficie del cellulare, semina su PCA. Esame macroscopico e microscopico. Test della catalasi e dell’ossidasi.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Semina su BAIRD PARKER agar, HEKTOEN ENTERIC agar, PSA, MANNITOL SALT agar e incubazione. Esame macroscopico e microscopico delle colonie cresciute sui 4 tipi di terreno.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 xml:space="preserve">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b/>
          <w:bCs/>
          <w:sz w:val="26"/>
          <w:szCs w:val="26"/>
          <w:u w:val="single"/>
        </w:rPr>
        <w:t>OSSERVAZIONE CARATTERISTICHE METABOLICHE DEI MICRORGANISMI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Preparazione brodi di arricchimento per Lattobacilli (MRS b.), Bacillus subtilis (TRIPTONE SOY b.), Saccharomyces cerevisiae (SABOURAUD b.), semina, incubazione.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Trasferimento su terreni agarizzati in provetta e incubazione. Osservazione modalità di crescita in base alla disponibilità di ossigeno.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b/>
          <w:bCs/>
          <w:sz w:val="26"/>
          <w:szCs w:val="26"/>
          <w:u w:val="single"/>
        </w:rPr>
        <w:t>CARATTERIZZAZIONE METABOLICA DEI MICRORGANISMI DI UN CAMPIONE DI ACQUA DI POZZO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Preparazione di terreno PCA e di tre diluizioni del campione, semina per inclusione, incubazione a 37 C°. Caratterizzazione macroscopica e microscopica delle colonie.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Trasferimento su becco di clarino (per il mantenimento delle colture cellulari).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b/>
          <w:bCs/>
          <w:sz w:val="26"/>
          <w:szCs w:val="26"/>
          <w:u w:val="single"/>
        </w:rPr>
        <w:t>CONTA DEI LIEVITI TRAMITE MISURAZIONE DELLA DENSITA’ OTTICA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Costruzione curva di crescita.</w:t>
      </w:r>
    </w:p>
    <w:p>
      <w:pPr>
        <w:pStyle w:val="Normal"/>
        <w:spacing w:lineRule="auto" w:line="240" w:before="0" w:after="0"/>
        <w:rPr>
          <w:rFonts w:ascii="Times New Roman" w:hAnsi="Times New Roman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b/>
          <w:bCs/>
          <w:sz w:val="26"/>
          <w:szCs w:val="26"/>
          <w:u w:val="single"/>
        </w:rPr>
        <w:t>ANALISI DEI BATTERI PRESENTI SULLE MANI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Preparazione di terreno PCA, semina tramite contatto con la superficie delle mani (prima e dopo il lavaggio con sapone detergente o alcol), incubazione a 36 C°.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  <w:t>Valutazione delle colonie cresciute prima e dopo il lavaggio delle mani: analisi macroscopica, microscopica e confronto tra le due piastre.</w:t>
      </w:r>
    </w:p>
    <w:p>
      <w:pPr>
        <w:pStyle w:val="Normal"/>
        <w:spacing w:lineRule="auto" w:line="240" w:before="0" w:after="0"/>
        <w:rPr>
          <w:rFonts w:ascii="Times New Roman" w:hAnsi="Times New Roman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NewRomanPS-BoldMT" w:cs="TimesNewRomanPS-BoldMT"/>
          <w:sz w:val="26"/>
          <w:szCs w:val="26"/>
        </w:rPr>
      </w:pPr>
      <w:r>
        <w:rPr>
          <w:rFonts w:eastAsia="TimesNewRomanPS-BoldMT" w:cs="TimesNewRomanPS-BoldMT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  <w:u w:val="single"/>
        </w:rPr>
        <w:t>Docenti</w:t>
      </w:r>
      <w:r>
        <w:rPr>
          <w:rFonts w:cs="Times New Roman" w:ascii="Times New Roman" w:hAnsi="Times New Roman"/>
          <w:sz w:val="26"/>
          <w:szCs w:val="26"/>
        </w:rPr>
        <w:t xml:space="preserve">  Giovanna Cacciapuoti                                                   Gabriele Gatti</w:t>
      </w:r>
    </w:p>
    <w:p>
      <w:pPr>
        <w:pStyle w:val="Normal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</w:t>
      </w:r>
    </w:p>
    <w:p>
      <w:pPr>
        <w:pStyle w:val="Normal"/>
        <w:rPr>
          <w:b/>
          <w:b/>
          <w:bCs/>
          <w:sz w:val="26"/>
          <w:szCs w:val="26"/>
          <w:u w:val="single"/>
        </w:rPr>
      </w:pPr>
      <w:r>
        <w:rPr>
          <w:rFonts w:cs="Times New Roman" w:ascii="Times New Roman" w:hAnsi="Times New Roman"/>
          <w:b/>
          <w:bCs/>
          <w:sz w:val="26"/>
          <w:szCs w:val="26"/>
          <w:u w:val="single"/>
        </w:rPr>
        <w:t>Studenti</w:t>
      </w:r>
    </w:p>
    <w:p>
      <w:pPr>
        <w:pStyle w:val="Normal"/>
        <w:rPr>
          <w:b/>
          <w:b/>
          <w:bCs/>
          <w:sz w:val="26"/>
          <w:szCs w:val="26"/>
          <w:u w:val="single"/>
        </w:rPr>
      </w:pPr>
      <w:r>
        <w:rPr/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  <w:sz w:val="24"/>
        </w:rPr>
      </w:pPr>
      <w:r>
        <w:rPr>
          <w:rFonts w:eastAsia="TimesNewRomanPSMT" w:cs="TimesNewRomanPSMT" w:ascii="TimesNewRomanPSMT" w:hAnsi="TimesNewRomanPSMT"/>
          <w:sz w:val="24"/>
        </w:rPr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  <w:sz w:val="24"/>
          <w:u w:val="single"/>
        </w:rPr>
      </w:pPr>
      <w:r>
        <w:rPr>
          <w:rFonts w:eastAsia="TimesNewRomanPSMT" w:cs="TimesNewRomanPSMT" w:ascii="TimesNewRomanPSMT" w:hAnsi="TimesNewRomanPSMT"/>
          <w:sz w:val="24"/>
          <w:u w:val="single"/>
        </w:rPr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  <w:sz w:val="24"/>
          <w:u w:val="single"/>
        </w:rPr>
      </w:pPr>
      <w:r>
        <w:rPr>
          <w:rFonts w:eastAsia="TimesNewRomanPSMT" w:cs="TimesNewRomanPSMT" w:ascii="TimesNewRomanPSMT" w:hAnsi="TimesNewRomanPSMT"/>
          <w:sz w:val="24"/>
          <w:u w:val="single"/>
        </w:rPr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  <w:sz w:val="24"/>
          <w:u w:val="single"/>
        </w:rPr>
      </w:pPr>
      <w:r>
        <w:rPr>
          <w:rFonts w:eastAsia="TimesNewRomanPSMT" w:cs="TimesNewRomanPSMT" w:ascii="TimesNewRomanPSMT" w:hAnsi="TimesNewRomanPSMT"/>
          <w:sz w:val="24"/>
          <w:u w:val="single"/>
        </w:rPr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  <w:sz w:val="24"/>
          <w:u w:val="single"/>
        </w:rPr>
      </w:pPr>
      <w:r>
        <w:rPr>
          <w:rFonts w:eastAsia="TimesNewRomanPSMT" w:cs="TimesNewRomanPSMT" w:ascii="TimesNewRomanPSMT" w:hAnsi="TimesNewRomanPSMT"/>
          <w:sz w:val="24"/>
          <w:u w:val="single"/>
        </w:rPr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  <w:sz w:val="24"/>
          <w:u w:val="single"/>
        </w:rPr>
      </w:pPr>
      <w:r>
        <w:rPr>
          <w:rFonts w:eastAsia="TimesNewRomanPSMT" w:cs="TimesNewRomanPSMT" w:ascii="TimesNewRomanPSMT" w:hAnsi="TimesNewRomanPSMT"/>
          <w:sz w:val="24"/>
          <w:u w:val="single"/>
        </w:rPr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  <w:sz w:val="24"/>
          <w:u w:val="single"/>
        </w:rPr>
      </w:pPr>
      <w:r>
        <w:rPr>
          <w:rFonts w:eastAsia="TimesNewRomanPSMT" w:cs="TimesNewRomanPSMT" w:ascii="TimesNewRomanPSMT" w:hAnsi="TimesNewRomanPSMT"/>
          <w:sz w:val="24"/>
          <w:u w:val="single"/>
        </w:rPr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  <w:sz w:val="24"/>
          <w:u w:val="single"/>
        </w:rPr>
      </w:pPr>
      <w:r>
        <w:rPr>
          <w:rFonts w:eastAsia="TimesNewRomanPSMT" w:cs="TimesNewRomanPSMT" w:ascii="TimesNewRomanPSMT" w:hAnsi="TimesNewRomanPSMT"/>
          <w:sz w:val="24"/>
          <w:u w:val="single"/>
        </w:rPr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  <w:sz w:val="24"/>
          <w:u w:val="single"/>
        </w:rPr>
      </w:pPr>
      <w:r>
        <w:rPr>
          <w:rFonts w:eastAsia="TimesNewRomanPSMT" w:cs="TimesNewRomanPSMT" w:ascii="TimesNewRomanPSMT" w:hAnsi="TimesNewRomanPSMT"/>
          <w:sz w:val="24"/>
          <w:u w:val="single"/>
        </w:rPr>
      </w:r>
    </w:p>
    <w:p>
      <w:pPr>
        <w:pStyle w:val="Normal"/>
        <w:spacing w:lineRule="auto" w:line="240" w:before="0" w:after="0"/>
        <w:rPr>
          <w:rFonts w:ascii="TimesNewRomanPSMT" w:hAnsi="TimesNewRomanPSMT" w:eastAsia="TimesNewRomanPSMT" w:cs="TimesNewRomanPSMT"/>
          <w:sz w:val="24"/>
          <w:u w:val="single"/>
        </w:rPr>
      </w:pPr>
      <w:r>
        <w:rPr>
          <w:rFonts w:eastAsia="TimesNewRomanPSMT" w:cs="TimesNewRomanPSMT" w:ascii="TimesNewRomanPSMT" w:hAnsi="TimesNewRomanPSMT"/>
          <w:sz w:val="24"/>
          <w:u w:val="single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134" w:right="1134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imesNewRomanPSMT">
    <w:charset w:val="00"/>
    <w:family w:val="roman"/>
    <w:pitch w:val="variable"/>
  </w:font>
  <w:font w:name="Arial">
    <w:charset w:val="00"/>
    <w:family w:val="roman"/>
    <w:pitch w:val="variable"/>
  </w:font>
  <w:font w:name="TimesNewRomanPS-BoldMT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283"/>
  <w:compat>
    <w:compatSetting w:name="compatibilityMode" w:uri="http://schemas.microsoft.com/office/word" w:val="12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egoe UI" w:cs="Tahoma"/>
      <w:color w:val="auto"/>
      <w:kern w:val="0"/>
      <w:sz w:val="22"/>
      <w:szCs w:val="22"/>
      <w:lang w:eastAsia="it-IT" w:bidi="ar-SA" w:val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qFormat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Application>LibreOffice/7.4.6.2$Windows_X86_64 LibreOffice_project/5b1f5509c2decdade7fda905e3e1429a67acd63d</Application>
  <AppVersion>15.0000</AppVersion>
  <Pages>6</Pages>
  <Words>863</Words>
  <Characters>5919</Characters>
  <CharactersWithSpaces>6707</CharactersWithSpaces>
  <Paragraphs>153</Paragraphs>
  <Company>ITIS Leonardo da Vinci - Parma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2021-04-27T09:31:00Z</dcterms:created>
  <dc:creator>DI PIETRO TOMMASO (tDIPIET)</dc:creator>
  <dc:description/>
  <dc:language>it-IT</dc:language>
  <cp:lastModifiedBy/>
  <dcterms:modified xsi:type="dcterms:W3CDTF">2023-05-11T20:02:04Z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KSOProductBuildVer">
    <vt:lpwstr>1033-11.2.0.9669</vt:lpwstr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