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F1F7B" w14:textId="1EBA830B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65554C6A" wp14:editId="14617965">
            <wp:simplePos x="0" y="0"/>
            <wp:positionH relativeFrom="column">
              <wp:posOffset>-186689</wp:posOffset>
            </wp:positionH>
            <wp:positionV relativeFrom="paragraph">
              <wp:posOffset>0</wp:posOffset>
            </wp:positionV>
            <wp:extent cx="6614160" cy="918633"/>
            <wp:effectExtent l="0" t="0" r="0" b="0"/>
            <wp:wrapSquare wrapText="bothSides" distT="0" distB="0" distL="114300" distR="114300"/>
            <wp:docPr id="118568865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9186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79BF6B04" w14:textId="77777777" w:rsidR="00E337A2" w:rsidRDefault="00E337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75EE9384" w14:textId="5C9E1B4C" w:rsidR="00DD3BE5" w:rsidRDefault="00721500" w:rsidP="00DD3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Programma</w:t>
      </w:r>
    </w:p>
    <w:p w14:paraId="69776B73" w14:textId="05B117E6" w:rsidR="001465E1" w:rsidRDefault="00721500" w:rsidP="00DD3B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di</w:t>
      </w:r>
    </w:p>
    <w:p w14:paraId="25621CB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highlight w:val="yellow"/>
          <w:u w:val="single"/>
        </w:rPr>
        <w:t>Biologia, Microbiologia e Tecniche di Controllo Sanitario</w:t>
      </w:r>
    </w:p>
    <w:p w14:paraId="3FF3FDE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a.s. 2022-2023</w:t>
      </w:r>
    </w:p>
    <w:p w14:paraId="3289919B" w14:textId="77777777" w:rsidR="00E337A2" w:rsidRDefault="00E337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E5F8E70" w14:textId="3F797BA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Classe 5ABS</w:t>
      </w:r>
    </w:p>
    <w:p w14:paraId="02E80F2C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14:paraId="47716A32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</w:rPr>
      </w:pPr>
    </w:p>
    <w:p w14:paraId="1B9AAC1B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Docenti: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Maria Beatrice Venturelli, Simona Ciccotta </w:t>
      </w:r>
    </w:p>
    <w:p w14:paraId="17C9463B" w14:textId="46B16AA4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Libro di testo: Fanti Fabio, “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Biologia, microbiologia e biotecnologie (Biotecnologie di controllo sanitario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)”, Zanichelli editore</w:t>
      </w:r>
      <w:r w:rsidR="00955660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F39C7C3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F97F551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23AADA87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La tecnologia del DNA ricombinante nel settore agrario e zootecnico </w:t>
      </w:r>
    </w:p>
    <w:p w14:paraId="6C8E2610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clonaggio, elettroforesi di DNA, PCR.</w:t>
      </w:r>
    </w:p>
    <w:p w14:paraId="2457166C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Biotecnologie tradizionali e innovative. </w:t>
      </w:r>
    </w:p>
    <w:p w14:paraId="3C03E236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left="426" w:hanging="42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Piante transgeniche: mais BT, piante resistenti agli erbicidi, golden rice; problemi legati alla biodiversità e alla fuga di geni. </w:t>
      </w:r>
    </w:p>
    <w:p w14:paraId="7C09F533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Animali transgenici. </w:t>
      </w:r>
    </w:p>
    <w:p w14:paraId="25109F96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Clonazione: la pecora Dolly. </w:t>
      </w:r>
    </w:p>
    <w:p w14:paraId="09C7134A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Terapia genica. </w:t>
      </w:r>
    </w:p>
    <w:p w14:paraId="353BB089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Editing genetico: CRISPR_Cas9. </w:t>
      </w:r>
    </w:p>
    <w:p w14:paraId="4DF0498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16412D50" w14:textId="77777777" w:rsidR="001465E1" w:rsidRPr="00955660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</w:t>
      </w:r>
    </w:p>
    <w:p w14:paraId="5D74202A" w14:textId="77777777" w:rsidR="001465E1" w:rsidRPr="00955660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</w:p>
    <w:p w14:paraId="4B02DDBF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Ricerca di OGM </w:t>
      </w:r>
    </w:p>
    <w:p w14:paraId="4801D735" w14:textId="793E3E0B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Estrazione di DNA da matrici alimentari</w:t>
      </w: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 xml:space="preserve"> </w:t>
      </w: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(patatine, soia, fiocchi, grano non-OGM);</w:t>
      </w:r>
    </w:p>
    <w:p w14:paraId="09A9D889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Preparazione del gel di agarosio per corsa elettroforetica;</w:t>
      </w:r>
    </w:p>
    <w:p w14:paraId="53E4AFCC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Analisi dei campioni di DNA tramite elettroforesi;</w:t>
      </w:r>
    </w:p>
    <w:p w14:paraId="07390F83" w14:textId="77777777" w:rsidR="001465E1" w:rsidRPr="009556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3"/>
          <w:szCs w:val="23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Analisi dei campioni tramite PCR. </w:t>
      </w:r>
    </w:p>
    <w:p w14:paraId="3314C55F" w14:textId="77777777" w:rsidR="001465E1" w:rsidRPr="00955660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2F5496" w:themeColor="accent1" w:themeShade="BF"/>
          <w:sz w:val="23"/>
          <w:szCs w:val="23"/>
        </w:rPr>
      </w:pPr>
    </w:p>
    <w:p w14:paraId="60A24B28" w14:textId="0A159AEA" w:rsidR="001465E1" w:rsidRPr="009556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- </w:t>
      </w:r>
      <w:r w:rsidRPr="009556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Trasformazione batterica con pGLO da medusa ad E.coli</w:t>
      </w: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per ottenimento colture con carattere di fluorescenza: preparazione del terreno LB, LB/amp e LB/amp/ara; semina per isolamento sul terreno LB di E.coli; preparazione di pGLO e semina su terreno con ampicillina ed arabinosio per osservazione </w:t>
      </w:r>
      <w:r w:rsidR="00955660"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della </w:t>
      </w:r>
      <w:r w:rsidRPr="009556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fluorescenza.</w:t>
      </w:r>
    </w:p>
    <w:p w14:paraId="4D2A24A2" w14:textId="77777777" w:rsidR="001465E1" w:rsidRDefault="001465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4472C4"/>
          <w:sz w:val="24"/>
          <w:szCs w:val="24"/>
          <w:highlight w:val="white"/>
        </w:rPr>
      </w:pPr>
    </w:p>
    <w:p w14:paraId="64CC324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Biotecnologie microbiche industriali</w:t>
      </w:r>
    </w:p>
    <w:p w14:paraId="08B2401D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Campi di azione delle biotecnologie microbiche.</w:t>
      </w:r>
    </w:p>
    <w:p w14:paraId="39525C59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Biocatalizzatori cellulari ed enzimatici. </w:t>
      </w:r>
    </w:p>
    <w:p w14:paraId="27AD8492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0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Prodotti. </w:t>
      </w:r>
    </w:p>
    <w:p w14:paraId="46C39E65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Coefficiente di resa e resa di fermentazione. </w:t>
      </w:r>
    </w:p>
    <w:p w14:paraId="59A05BDC" w14:textId="77777777" w:rsidR="001465E1" w:rsidRDefault="0072150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Vantaggi delle produzioni microbiologiche industriali.</w:t>
      </w:r>
    </w:p>
    <w:p w14:paraId="4EA4CF1E" w14:textId="4D6EFD14" w:rsidR="00955660" w:rsidRPr="00955660" w:rsidRDefault="00721500" w:rsidP="00955660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Tecniche di selezione di ceppi microbici nelle produzioni biotecnologiche industriali: screening primario e screening secondario. Impianto pilota.</w:t>
      </w:r>
    </w:p>
    <w:p w14:paraId="6285CEE6" w14:textId="77777777" w:rsidR="00955660" w:rsidRDefault="0095566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53D98636" w14:textId="23AA9794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lastRenderedPageBreak/>
        <w:t xml:space="preserve">Processi biotecnologici </w:t>
      </w:r>
    </w:p>
    <w:p w14:paraId="5AFE97F6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terreni di coltura per la microbiologia industriale:</w:t>
      </w:r>
    </w:p>
    <w:p w14:paraId="7418AA1B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carbonio (melasso, liscivio solfitico, estratto di malto, siero di latte, amido e maltodestrine); </w:t>
      </w:r>
    </w:p>
    <w:p w14:paraId="7142C3AB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azoto (corn steep liquor, farina di semi di soia o cotone, borlande di distilleria); </w:t>
      </w:r>
    </w:p>
    <w:p w14:paraId="29596CAF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Fonti di vitamine (estratto di lievito); </w:t>
      </w:r>
    </w:p>
    <w:p w14:paraId="66AB4F43" w14:textId="77777777" w:rsidR="001465E1" w:rsidRDefault="0072150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sistemi tampone e agenti schiumogeni.</w:t>
      </w:r>
    </w:p>
    <w:p w14:paraId="550CA770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Le materie prime. </w:t>
      </w:r>
    </w:p>
    <w:p w14:paraId="61805551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Prodotti delle fermentazioni. </w:t>
      </w:r>
    </w:p>
    <w:p w14:paraId="1355F845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Scale up. </w:t>
      </w:r>
    </w:p>
    <w:p w14:paraId="64221B7F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Struttura di un bioreattore: classificazione in base al sistema di agitazione/aerazione.</w:t>
      </w:r>
    </w:p>
    <w:p w14:paraId="0B85CC54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Processi batch, continui e fed-batch. Vantaggi e svantaggi. </w:t>
      </w:r>
    </w:p>
    <w:p w14:paraId="26FC694A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Chemostato e turbidostato. Legge di Liebig.</w:t>
      </w:r>
    </w:p>
    <w:p w14:paraId="3C600D41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Sterilizzazione di un fermentatore.</w:t>
      </w:r>
    </w:p>
    <w:p w14:paraId="4BE95A7E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Parametri e relativi sistemi di controllo. I biosensori. </w:t>
      </w:r>
    </w:p>
    <w:p w14:paraId="5241727B" w14:textId="77777777" w:rsidR="001465E1" w:rsidRDefault="0072150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7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Fasi del processo di downstream. </w:t>
      </w:r>
    </w:p>
    <w:p w14:paraId="1224690A" w14:textId="77777777" w:rsidR="001465E1" w:rsidRDefault="001465E1" w:rsidP="009656A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9DE64D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Prodotti ottenuti da processi biotecnologici </w:t>
      </w:r>
    </w:p>
    <w:p w14:paraId="03CFA5D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1) Biomasse microbiche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: SCP e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Saccharomyces Cerevisiae</w:t>
      </w:r>
    </w:p>
    <w:p w14:paraId="501AB84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2) Acidi organici: acido citrico, acido lattico e acido gluconico.</w:t>
      </w:r>
    </w:p>
    <w:p w14:paraId="2C1C169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3. Etanolo</w:t>
      </w:r>
    </w:p>
    <w:p w14:paraId="4C9C864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>4)Amminoacidi</w:t>
      </w:r>
    </w:p>
    <w:p w14:paraId="2BD8850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5) Enzimi </w:t>
      </w:r>
    </w:p>
    <w:p w14:paraId="2C73FD3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6) Vitamine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(produzione di vitamina C tramite bioconversione, vitamina B2) </w:t>
      </w:r>
    </w:p>
    <w:p w14:paraId="78C6E0A1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7) Proteine umane ricombinanti: </w:t>
      </w:r>
    </w:p>
    <w:p w14:paraId="00A467AB" w14:textId="5F0BDC29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-Sistemi di espressione, mezzi colturali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3E29C33E" w14:textId="650A02B5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-Purificazione e sterilità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6333FD3C" w14:textId="4C16D696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-Eliminazione dei pirogeni</w:t>
      </w:r>
      <w:r w:rsidR="00AD2462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C86D8B0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-Eccipienti. </w:t>
      </w:r>
    </w:p>
    <w:p w14:paraId="3C33B560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Tipi di vaccini. Vaccini ricombinanti (anti-HBV; anti-pertosse, vaccino per la malattia di Lyme). </w:t>
      </w:r>
    </w:p>
    <w:p w14:paraId="26C1EAC2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Anticorpi monoclonali (bioreattore a fibre cave). </w:t>
      </w:r>
    </w:p>
    <w:p w14:paraId="7857E7DE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Insulina</w:t>
      </w:r>
    </w:p>
    <w:p w14:paraId="5F673638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Interferone. </w:t>
      </w:r>
    </w:p>
    <w:p w14:paraId="1597E4E1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Ormoni polipeptidici (insulina, somatostatina, HGH, eritropoietina). </w:t>
      </w:r>
    </w:p>
    <w:p w14:paraId="7F3439BE" w14:textId="77777777" w:rsidR="001465E1" w:rsidRDefault="00721500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Ormoni steroidei (bioconversioni)</w:t>
      </w:r>
    </w:p>
    <w:p w14:paraId="11981C1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5) Antibiotici </w:t>
      </w:r>
    </w:p>
    <w:p w14:paraId="137A981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13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-Meccanismi di azione degli antibiotici </w:t>
      </w:r>
    </w:p>
    <w:p w14:paraId="612A70B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Penicilline </w:t>
      </w:r>
    </w:p>
    <w:p w14:paraId="34340B8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31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szCs w:val="23"/>
        </w:rPr>
        <w:t xml:space="preserve">6) Produzioni alimentari </w:t>
      </w:r>
    </w:p>
    <w:p w14:paraId="4BAC1AF4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Vino. Malattie del vino. </w:t>
      </w:r>
    </w:p>
    <w:p w14:paraId="2492F0B6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Aceto e aceto balsamico. </w:t>
      </w:r>
    </w:p>
    <w:p w14:paraId="34294970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Birra. </w:t>
      </w:r>
    </w:p>
    <w:p w14:paraId="2EF326E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31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Pane e prodotti da forno a lievitazione naturale. </w:t>
      </w:r>
    </w:p>
    <w:p w14:paraId="412938C0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Yogurt e kefir. </w:t>
      </w:r>
    </w:p>
    <w:p w14:paraId="6572F1B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Vegetali fermentati (produzione industriale): crauti.</w:t>
      </w:r>
    </w:p>
    <w:p w14:paraId="05B0F79E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 salami.</w:t>
      </w:r>
    </w:p>
    <w:p w14:paraId="711829F5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470E99BC" w14:textId="77777777" w:rsidR="001465E1" w:rsidRPr="00E74860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LABORATORIO:</w:t>
      </w:r>
    </w:p>
    <w:p w14:paraId="162C9359" w14:textId="77777777" w:rsidR="001465E1" w:rsidRPr="00E74860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</w:p>
    <w:p w14:paraId="471D6CD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Preparazione del mosto per la caratterizzazione dei lieviti selvaggi ai fini fermentativi</w:t>
      </w: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 </w:t>
      </w:r>
    </w:p>
    <w:p w14:paraId="4EE52DBA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Carica diretta dal mosto con camera Burker. </w:t>
      </w:r>
    </w:p>
    <w:p w14:paraId="49180632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lastRenderedPageBreak/>
        <w:t xml:space="preserve">- Osservazione microscopica dei lieviti in becco di clarino. </w:t>
      </w:r>
    </w:p>
    <w:p w14:paraId="39B28CE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Preparazione di terreno Agar Sabouraud e diluizione per ottenere ceppi di colture pure di lieviti.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11D41A24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- Osservazione morfologica dei lieviti al microscopio.</w:t>
      </w:r>
    </w:p>
    <w:p w14:paraId="10FB8E9A" w14:textId="77777777" w:rsidR="001465E1" w:rsidRPr="00E74860" w:rsidRDefault="00721500" w:rsidP="00E748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Preparazione del terreno WL Nutrient Agar per semina ed isolamento dei lieviti del mosto selvaggio.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1D9A7447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Osservazione dei lieviti su WL agar allo stereomicroscopio e al microscopio.</w:t>
      </w:r>
    </w:p>
    <w:p w14:paraId="496B8276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Preparazione della microcoltura su vetrino per osservazione dello pseudomicelio;</w:t>
      </w:r>
    </w:p>
    <w:p w14:paraId="3C78CB53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 Rilevazione della presenza di caratteri sessuali su agar acetato.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011CFC8F" w14:textId="77777777" w:rsidR="001465E1" w:rsidRPr="00E74860" w:rsidRDefault="00146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</w:p>
    <w:p w14:paraId="50119F6A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Prova di assimilazione degli zuccheri da parte dei lieviti in ambito enologico</w:t>
      </w: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  <w:highlight w:val="white"/>
        </w:rPr>
        <w:t> </w:t>
      </w:r>
    </w:p>
    <w:p w14:paraId="4F1D7874" w14:textId="77777777" w:rsidR="001465E1" w:rsidRPr="00E74860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Osservazione dei caratteri tecnologici dei lieviti: caratteri fermentativi con zuccheri ed assimilazione dei carboidrati ai fini metabolici. </w:t>
      </w:r>
    </w:p>
    <w:p w14:paraId="38A2E25E" w14:textId="77777777" w:rsidR="001465E1" w:rsidRPr="00E74860" w:rsidRDefault="001465E1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</w:p>
    <w:p w14:paraId="5BD2FD06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Produzione di birra</w:t>
      </w:r>
    </w:p>
    <w:p w14:paraId="4841B6F5" w14:textId="574F44BA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-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Le analisi della birra: introduzione, campionamento delle materie prime (acqua) e carica microbica totale. </w:t>
      </w:r>
    </w:p>
    <w:p w14:paraId="1C149E70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-Analisi microbiologica dell'acqua: carica totale a 22°C e a 37°C su PCA, metodo MPN per la determinazione di coliformi totali e fecali con ricerca di </w:t>
      </w:r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E.coli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5E0EE276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Analisi microbiologica del malto: preparazione della diluizione di malto per semina su Rosa Bengala per ricerca di muffe. </w:t>
      </w:r>
    </w:p>
    <w:p w14:paraId="7C12B669" w14:textId="0ABE24A6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Semina di </w:t>
      </w:r>
      <w:r w:rsidR="00AC27D2"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Saccharomyces</w:t>
      </w:r>
      <w:r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 xml:space="preserve"> pastorianus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e </w:t>
      </w:r>
      <w:r w:rsidR="00AC27D2"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 xml:space="preserve">Saccharomyces </w:t>
      </w:r>
      <w:r w:rsidRPr="00AC27D2"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  <w:t>bayanus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su Agar Malto per lo studio e la caratterizzazione dei lieviti. </w:t>
      </w:r>
    </w:p>
    <w:p w14:paraId="74ECC969" w14:textId="77777777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-Preparazione del mosto, rilevazione di enterobatteri e produzione della birra.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3AF7B74F" w14:textId="133062C5" w:rsidR="001465E1" w:rsidRPr="00E74860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Analisi del prodotto finito: ricerca di microrganismi alterativi del prodotto finito; riconoscimento ed osservazione di muffe e lieviti  </w:t>
      </w:r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(E. coli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, </w:t>
      </w:r>
      <w:r w:rsidRPr="00E74860">
        <w:rPr>
          <w:rFonts w:ascii="Times New Roman" w:eastAsia="Times New Roman" w:hAnsi="Times New Roman" w:cs="Times New Roman"/>
          <w:i/>
          <w:color w:val="2F5496" w:themeColor="accent1" w:themeShade="BF"/>
          <w:sz w:val="24"/>
          <w:szCs w:val="24"/>
        </w:rPr>
        <w:t>Pediococcus, Lactobacillus brevis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, batteri acetici). </w:t>
      </w:r>
      <w:r w:rsidRPr="00E74860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> </w:t>
      </w:r>
    </w:p>
    <w:p w14:paraId="4C401668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51A8834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I farmaci e la farmacovigilanza </w:t>
      </w:r>
    </w:p>
    <w:p w14:paraId="48C0F90F" w14:textId="77777777" w:rsidR="001465E1" w:rsidRDefault="007215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Farmacologia: farmacocinetica e farmacodinamica</w:t>
      </w:r>
    </w:p>
    <w:p w14:paraId="2E1F8C1E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Nascita di un farmaco. </w:t>
      </w:r>
    </w:p>
    <w:p w14:paraId="0B4F224F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Fase di ricerca preclinica (fase 0). </w:t>
      </w:r>
    </w:p>
    <w:p w14:paraId="75E3E825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Clinical trials: </w:t>
      </w:r>
    </w:p>
    <w:p w14:paraId="434DBD2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preliminare (fase I) </w:t>
      </w:r>
    </w:p>
    <w:p w14:paraId="185ED97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terapeutico pilota (fase II) </w:t>
      </w:r>
    </w:p>
    <w:p w14:paraId="09CA531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  <w:t xml:space="preserve">- studio terapeutico su larga scala (fase III). </w:t>
      </w:r>
    </w:p>
    <w:p w14:paraId="31E2B2E2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Registrazione del farmaco e immissione in commercio. </w:t>
      </w:r>
    </w:p>
    <w:p w14:paraId="60F568E8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Farmacovigilanza. </w:t>
      </w:r>
    </w:p>
    <w:p w14:paraId="41C68032" w14:textId="77777777" w:rsidR="001465E1" w:rsidRDefault="00721500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Le cellule staminali: impiego come terapia.</w:t>
      </w:r>
    </w:p>
    <w:p w14:paraId="27D8902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3A1F78D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Contaminazioni microbiologiche e chimiche degli alimenti </w:t>
      </w:r>
    </w:p>
    <w:p w14:paraId="646BCB49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Qualità e igiene degli alimenti. </w:t>
      </w:r>
    </w:p>
    <w:p w14:paraId="1662A10A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microbica. </w:t>
      </w:r>
    </w:p>
    <w:p w14:paraId="60C8B73A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Degradazione e alterazione degli alimenti. </w:t>
      </w:r>
    </w:p>
    <w:p w14:paraId="0F2A0790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Microrganismi indicatori: </w:t>
      </w:r>
    </w:p>
    <w:p w14:paraId="5A70CA7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sicurezza </w:t>
      </w:r>
    </w:p>
    <w:p w14:paraId="34144F6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igiene di processo </w:t>
      </w:r>
    </w:p>
    <w:p w14:paraId="0A37459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indicatori di qualità o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shelf-life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. Challenge test. </w:t>
      </w:r>
    </w:p>
    <w:p w14:paraId="0576630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 w:firstLine="1275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29C249A8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Fattori che condizionano la microbiologia degli alimenti: </w:t>
      </w:r>
    </w:p>
    <w:p w14:paraId="1D906F6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tipo di microrganismi </w:t>
      </w:r>
    </w:p>
    <w:p w14:paraId="490E6CD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carica microbica </w:t>
      </w:r>
    </w:p>
    <w:p w14:paraId="4971D383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composizione dell’alimento </w:t>
      </w:r>
    </w:p>
    <w:p w14:paraId="2ECC21E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modalità di conservazione </w:t>
      </w:r>
    </w:p>
    <w:p w14:paraId="683D888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aw </w:t>
      </w:r>
    </w:p>
    <w:p w14:paraId="1BABE60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- temperatura </w:t>
      </w:r>
    </w:p>
    <w:p w14:paraId="2CA3A65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potenziale redox </w:t>
      </w:r>
    </w:p>
    <w:p w14:paraId="1D30C8EC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left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pH del substrato</w:t>
      </w:r>
    </w:p>
    <w:p w14:paraId="7398C87E" w14:textId="77777777" w:rsidR="001465E1" w:rsidRDefault="007215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firstLine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Contaminazione chimica degli alimenti: </w:t>
      </w:r>
    </w:p>
    <w:p w14:paraId="475083E8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pesticidi </w:t>
      </w:r>
    </w:p>
    <w:p w14:paraId="76E1381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anticrittogamici </w:t>
      </w:r>
    </w:p>
    <w:p w14:paraId="3932B2C3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diserbanti </w:t>
      </w:r>
    </w:p>
    <w:p w14:paraId="6900B0FD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ormoni anabolizzanti e antibiotici </w:t>
      </w:r>
    </w:p>
    <w:p w14:paraId="5A92C50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44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contaminazioni da contenitori </w:t>
      </w:r>
    </w:p>
    <w:p w14:paraId="4B9EA08C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metalli pesanti</w:t>
      </w:r>
    </w:p>
    <w:p w14:paraId="1F81FB5F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127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radionuclidi </w:t>
      </w:r>
    </w:p>
    <w:p w14:paraId="58951D30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B8DA4AF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Conservazione degli alimenti e normative per la sicurezza alimentare </w:t>
      </w:r>
    </w:p>
    <w:p w14:paraId="33F3BD25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fisici. </w:t>
      </w:r>
    </w:p>
    <w:p w14:paraId="28ABF9C0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Conservazione con mezzi chimici. </w:t>
      </w:r>
    </w:p>
    <w:p w14:paraId="68991543" w14:textId="77777777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44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Impiego di additivi e conservanti. </w:t>
      </w:r>
    </w:p>
    <w:p w14:paraId="53D1955D" w14:textId="5126EE2E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Il sistema HACCP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2A5BEB73" w14:textId="5D8C4854" w:rsidR="001465E1" w:rsidRPr="00A17AA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  <w:lang w:val="en-GB"/>
        </w:rPr>
      </w:pPr>
      <w:r w:rsidRPr="00A17AA1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Shelf-life</w:t>
      </w:r>
      <w:r w:rsidRPr="00A17AA1">
        <w:rPr>
          <w:rFonts w:ascii="Times New Roman" w:eastAsia="Times New Roman" w:hAnsi="Times New Roman" w:cs="Times New Roman"/>
          <w:color w:val="000000"/>
          <w:sz w:val="23"/>
          <w:szCs w:val="23"/>
          <w:lang w:val="en-GB"/>
        </w:rPr>
        <w:t xml:space="preserve"> e </w:t>
      </w:r>
      <w:r w:rsidRPr="00A17AA1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Challenge test</w:t>
      </w:r>
      <w:r w:rsidR="00A17AA1" w:rsidRPr="00A17AA1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en-GB"/>
        </w:rPr>
        <w:t>.</w:t>
      </w:r>
    </w:p>
    <w:p w14:paraId="23646C60" w14:textId="69BFB4C0" w:rsidR="001465E1" w:rsidRDefault="00721500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20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Tracciabilità genetica degli alimenti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5E9E714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7F6D42F4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 xml:space="preserve">Malattie trasmesse con gli alimenti </w:t>
      </w:r>
    </w:p>
    <w:p w14:paraId="1DAE7C62" w14:textId="77777777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426" w:hanging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Infezioni, intossicazioni, tossinfezioni: </w:t>
      </w:r>
    </w:p>
    <w:p w14:paraId="49E68B40" w14:textId="0EE8BCB8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stafilococchi patogeni </w:t>
      </w:r>
    </w:p>
    <w:p w14:paraId="2C78F350" w14:textId="41A1E264" w:rsidR="001465E1" w:rsidRPr="00721500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  <w:lang w:val="fr-FR"/>
        </w:rPr>
      </w:pPr>
      <w:r w:rsidRPr="00721500">
        <w:rPr>
          <w:rFonts w:ascii="Times New Roman" w:eastAsia="Times New Roman" w:hAnsi="Times New Roman" w:cs="Times New Roman"/>
          <w:i/>
          <w:color w:val="000000"/>
          <w:sz w:val="23"/>
          <w:szCs w:val="23"/>
          <w:lang w:val="fr-FR"/>
        </w:rPr>
        <w:t xml:space="preserve">E. coli </w:t>
      </w:r>
      <w:r w:rsidRPr="00721500">
        <w:rPr>
          <w:rFonts w:ascii="Times New Roman" w:eastAsia="Times New Roman" w:hAnsi="Times New Roman" w:cs="Times New Roman"/>
          <w:color w:val="000000"/>
          <w:sz w:val="23"/>
          <w:szCs w:val="23"/>
          <w:lang w:val="fr-FR"/>
        </w:rPr>
        <w:t>(EPEC, ETEC, EIEC, EHEC)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  <w:lang w:val="fr-FR"/>
        </w:rPr>
        <w:t>.</w:t>
      </w:r>
    </w:p>
    <w:p w14:paraId="371B0E78" w14:textId="119C9372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Salmonella typhimurium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e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Salmonella typhi</w:t>
      </w:r>
    </w:p>
    <w:p w14:paraId="2406D33C" w14:textId="3ED14385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47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Clostridium botulinum </w:t>
      </w:r>
    </w:p>
    <w:p w14:paraId="34E25CC5" w14:textId="7D182D9D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Lysteria monocitogenes</w:t>
      </w:r>
    </w:p>
    <w:p w14:paraId="6B0DBF57" w14:textId="1C179E77" w:rsidR="001465E1" w:rsidRDefault="00721500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 xml:space="preserve">Shigella </w:t>
      </w:r>
    </w:p>
    <w:p w14:paraId="09725B47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Clostridium perfrigens</w:t>
      </w:r>
    </w:p>
    <w:p w14:paraId="03247136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Bacillus cereus</w:t>
      </w:r>
    </w:p>
    <w:p w14:paraId="2817E3DC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Vibrio cholerae</w:t>
      </w:r>
    </w:p>
    <w:p w14:paraId="378D2E17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Brucelle</w:t>
      </w:r>
    </w:p>
    <w:p w14:paraId="3E2DF78E" w14:textId="77777777" w:rsidR="001465E1" w:rsidRDefault="0072150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843" w:hanging="567"/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Campylobacter</w:t>
      </w:r>
    </w:p>
    <w:p w14:paraId="047EDC3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sz w:val="23"/>
          <w:szCs w:val="23"/>
        </w:rPr>
      </w:pPr>
    </w:p>
    <w:p w14:paraId="11D273A9" w14:textId="77777777" w:rsidR="001465E1" w:rsidRPr="0067209F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  <w:r w:rsidRPr="0067209F"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  <w:t>LABORATORIO:</w:t>
      </w:r>
    </w:p>
    <w:p w14:paraId="51ABD9C8" w14:textId="77777777" w:rsidR="001465E1" w:rsidRPr="0067209F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2F5496" w:themeColor="accent1" w:themeShade="BF"/>
          <w:sz w:val="23"/>
          <w:szCs w:val="23"/>
          <w:u w:val="single"/>
        </w:rPr>
      </w:pPr>
    </w:p>
    <w:p w14:paraId="48CEC11F" w14:textId="77777777" w:rsidR="001465E1" w:rsidRPr="0067209F" w:rsidRDefault="0072150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67209F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- </w:t>
      </w:r>
      <w:r w:rsidRPr="0067209F">
        <w:rPr>
          <w:rFonts w:ascii="Times New Roman" w:eastAsia="Times New Roman" w:hAnsi="Times New Roman" w:cs="Times New Roman"/>
          <w:b/>
          <w:color w:val="2F5496" w:themeColor="accent1" w:themeShade="BF"/>
          <w:sz w:val="24"/>
          <w:szCs w:val="24"/>
        </w:rPr>
        <w:t>Ricerca Salmonelle negli alimenti (uova)</w:t>
      </w:r>
      <w:r w:rsidRPr="0067209F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: pre-arricchimento, arricchimento selettivo ed isolamento. </w:t>
      </w:r>
    </w:p>
    <w:p w14:paraId="3ED39894" w14:textId="77777777" w:rsidR="001465E1" w:rsidRPr="0067209F" w:rsidRDefault="007215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67209F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>Test colturali ed enzimatici di conferma: semina su Hektoen Enteric Agar e Mc Conkey Agar, test della ossidasi e test di immunoagglutinazione (LatexTest Salmonella),</w:t>
      </w:r>
      <w:r w:rsidRPr="0067209F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  <w:highlight w:val="white"/>
        </w:rPr>
        <w:t xml:space="preserve"> Galleria API 20E. </w:t>
      </w:r>
    </w:p>
    <w:p w14:paraId="28AEDE9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579DAB9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t>Controllo microbiologico degli alimenti</w:t>
      </w:r>
    </w:p>
    <w:p w14:paraId="56CC4879" w14:textId="1A1A55CB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Frodi alimentari: frodi sanitarie e commerciali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76051F86" w14:textId="7F5A1D37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Criteri microbiologici per il controllo degli alimenti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3D974227" w14:textId="3F1FCA55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Piani di campionamento: a due classi e a tre classi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6ED1B05A" w14:textId="77777777" w:rsidR="001465E1" w:rsidRDefault="0072150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Controllo microbiologico di:</w:t>
      </w:r>
    </w:p>
    <w:p w14:paraId="7D6752E5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Acque potabili</w:t>
      </w:r>
    </w:p>
    <w:p w14:paraId="7FE4121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Latte</w:t>
      </w:r>
    </w:p>
    <w:p w14:paraId="6B97537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Salumi</w:t>
      </w:r>
    </w:p>
    <w:p w14:paraId="276A35AE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firstLine="556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Conserve</w:t>
      </w:r>
    </w:p>
    <w:p w14:paraId="309A1D44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2361975E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</w:p>
    <w:p w14:paraId="71F8A692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FF0000"/>
          <w:sz w:val="23"/>
          <w:szCs w:val="23"/>
        </w:rPr>
        <w:lastRenderedPageBreak/>
        <w:t xml:space="preserve">Tossicologia </w:t>
      </w:r>
    </w:p>
    <w:p w14:paraId="6B1B1C6F" w14:textId="16BE3595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Xenobiotici, veleni, tossine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0A1EAFA9" w14:textId="0ABD2EEF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Tossicità acuta e cronica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56459812" w14:textId="2CF694F4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Tossicocinetica: dall’assorbimento all’eliminazione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2F1EB3D5" w14:textId="4AEDC03A" w:rsidR="00775BFB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Tossicodinamica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46E7D4CA" w14:textId="5D817837" w:rsidR="001465E1" w:rsidRDefault="00FE3E7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Test in vivo e </w:t>
      </w:r>
      <w:r w:rsidR="00721500">
        <w:rPr>
          <w:rFonts w:ascii="Times New Roman" w:eastAsia="Times New Roman" w:hAnsi="Times New Roman" w:cs="Times New Roman"/>
          <w:color w:val="000000"/>
          <w:sz w:val="23"/>
          <w:szCs w:val="23"/>
        </w:rPr>
        <w:t>curva dose-risposta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 w:rsidR="00721500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46DB1296" w14:textId="26712411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44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Parametri tossicologici per la valutazione del rischio (DL50, NOEL, NOAEL, LOAEL)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14:paraId="5D64F016" w14:textId="6CA238FD" w:rsidR="001465E1" w:rsidRDefault="007215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Test di genotossicità </w:t>
      </w:r>
      <w:r>
        <w:rPr>
          <w:rFonts w:ascii="Times New Roman" w:eastAsia="Times New Roman" w:hAnsi="Times New Roman" w:cs="Times New Roman"/>
          <w:i/>
          <w:color w:val="000000"/>
          <w:sz w:val="23"/>
          <w:szCs w:val="23"/>
        </w:rPr>
        <w:t>in vitro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: il test di Ames</w:t>
      </w:r>
      <w:r w:rsidR="00A17AA1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14:paraId="045B75E8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3C6E6B3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910DFB5" w14:textId="77777777" w:rsidR="00FE3E75" w:rsidRDefault="00FE3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9FA367C" w14:textId="77777777" w:rsidR="00FE3E75" w:rsidRDefault="00FE3E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408D3B51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529678C" w14:textId="77777777" w:rsidR="001465E1" w:rsidRDefault="00721500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Parma, 12 maggio 2023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I docenti                                        Gli studenti</w:t>
      </w:r>
    </w:p>
    <w:p w14:paraId="20762686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Maria Beatrice Venturelli </w:t>
      </w:r>
    </w:p>
    <w:p w14:paraId="6FB0B326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68D5BC27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             ____________________</w:t>
      </w:r>
    </w:p>
    <w:p w14:paraId="6AA00E0A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94788BA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    Simona Ciccotta </w:t>
      </w:r>
    </w:p>
    <w:p w14:paraId="6854FB0B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1F2FCD09" w14:textId="77777777" w:rsidR="001465E1" w:rsidRDefault="007215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48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_______________________           ____________________</w:t>
      </w:r>
    </w:p>
    <w:p w14:paraId="07D9854D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3EDB82D6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6371780" w14:textId="77777777" w:rsidR="001465E1" w:rsidRDefault="001465E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14:paraId="0A8D2F1E" w14:textId="77777777" w:rsidR="001465E1" w:rsidRDefault="001465E1"/>
    <w:sectPr w:rsidR="001465E1">
      <w:footerReference w:type="default" r:id="rId9"/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CE4A" w14:textId="77777777" w:rsidR="00EC3188" w:rsidRDefault="00EC3188">
      <w:pPr>
        <w:spacing w:after="0" w:line="240" w:lineRule="auto"/>
      </w:pPr>
      <w:r>
        <w:separator/>
      </w:r>
    </w:p>
  </w:endnote>
  <w:endnote w:type="continuationSeparator" w:id="0">
    <w:p w14:paraId="55C420C4" w14:textId="77777777" w:rsidR="00EC3188" w:rsidRDefault="00EC3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9909D" w14:textId="77777777" w:rsidR="001465E1" w:rsidRDefault="00721500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6160D">
      <w:rPr>
        <w:noProof/>
        <w:color w:val="000000"/>
      </w:rPr>
      <w:t>1</w:t>
    </w:r>
    <w:r>
      <w:rPr>
        <w:color w:val="000000"/>
      </w:rPr>
      <w:fldChar w:fldCharType="end"/>
    </w:r>
  </w:p>
  <w:p w14:paraId="683DD630" w14:textId="77777777" w:rsidR="001465E1" w:rsidRDefault="001465E1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00090" w14:textId="77777777" w:rsidR="00EC3188" w:rsidRDefault="00EC3188">
      <w:pPr>
        <w:spacing w:after="0" w:line="240" w:lineRule="auto"/>
      </w:pPr>
      <w:r>
        <w:separator/>
      </w:r>
    </w:p>
  </w:footnote>
  <w:footnote w:type="continuationSeparator" w:id="0">
    <w:p w14:paraId="72FB9483" w14:textId="77777777" w:rsidR="00EC3188" w:rsidRDefault="00EC3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3A7B"/>
    <w:multiLevelType w:val="multilevel"/>
    <w:tmpl w:val="88E4048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8135866"/>
    <w:multiLevelType w:val="multilevel"/>
    <w:tmpl w:val="2536E7D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1FF12B2F"/>
    <w:multiLevelType w:val="multilevel"/>
    <w:tmpl w:val="C0A642F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21155493"/>
    <w:multiLevelType w:val="multilevel"/>
    <w:tmpl w:val="B964A01C"/>
    <w:lvl w:ilvl="0">
      <w:start w:val="1"/>
      <w:numFmt w:val="bullet"/>
      <w:lvlText w:val="⮚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253A5711"/>
    <w:multiLevelType w:val="multilevel"/>
    <w:tmpl w:val="0270D316"/>
    <w:lvl w:ilvl="0">
      <w:start w:val="1"/>
      <w:numFmt w:val="bullet"/>
      <w:lvlText w:val="•"/>
      <w:lvlJc w:val="left"/>
      <w:pPr>
        <w:ind w:left="862" w:hanging="360"/>
      </w:p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305F6BED"/>
    <w:multiLevelType w:val="multilevel"/>
    <w:tmpl w:val="61F4499A"/>
    <w:lvl w:ilvl="0">
      <w:start w:val="1"/>
      <w:numFmt w:val="bullet"/>
      <w:lvlText w:val="⮚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2BE56B9"/>
    <w:multiLevelType w:val="multilevel"/>
    <w:tmpl w:val="9A427078"/>
    <w:lvl w:ilvl="0">
      <w:start w:val="1"/>
      <w:numFmt w:val="bullet"/>
      <w:lvlText w:val="⮚"/>
      <w:lvlJc w:val="left"/>
      <w:pPr>
        <w:ind w:left="242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31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8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5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7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4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181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F5972FB"/>
    <w:multiLevelType w:val="multilevel"/>
    <w:tmpl w:val="A7E6D798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46B67D47"/>
    <w:multiLevelType w:val="multilevel"/>
    <w:tmpl w:val="9DBE14D0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47FE2F94"/>
    <w:multiLevelType w:val="multilevel"/>
    <w:tmpl w:val="DF066744"/>
    <w:lvl w:ilvl="0">
      <w:start w:val="1"/>
      <w:numFmt w:val="bullet"/>
      <w:lvlText w:val="•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4C7B5721"/>
    <w:multiLevelType w:val="multilevel"/>
    <w:tmpl w:val="B772191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4DB97EF8"/>
    <w:multiLevelType w:val="multilevel"/>
    <w:tmpl w:val="659EBF9A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962541448">
    <w:abstractNumId w:val="8"/>
  </w:num>
  <w:num w:numId="2" w16cid:durableId="616567429">
    <w:abstractNumId w:val="2"/>
  </w:num>
  <w:num w:numId="3" w16cid:durableId="73283427">
    <w:abstractNumId w:val="3"/>
  </w:num>
  <w:num w:numId="4" w16cid:durableId="766779098">
    <w:abstractNumId w:val="5"/>
  </w:num>
  <w:num w:numId="5" w16cid:durableId="695892121">
    <w:abstractNumId w:val="0"/>
  </w:num>
  <w:num w:numId="6" w16cid:durableId="164130012">
    <w:abstractNumId w:val="10"/>
  </w:num>
  <w:num w:numId="7" w16cid:durableId="1648778662">
    <w:abstractNumId w:val="9"/>
  </w:num>
  <w:num w:numId="8" w16cid:durableId="51739433">
    <w:abstractNumId w:val="6"/>
  </w:num>
  <w:num w:numId="9" w16cid:durableId="2142840422">
    <w:abstractNumId w:val="4"/>
  </w:num>
  <w:num w:numId="10" w16cid:durableId="408042117">
    <w:abstractNumId w:val="11"/>
  </w:num>
  <w:num w:numId="11" w16cid:durableId="1201894904">
    <w:abstractNumId w:val="7"/>
  </w:num>
  <w:num w:numId="12" w16cid:durableId="2042926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5E1"/>
    <w:rsid w:val="001465E1"/>
    <w:rsid w:val="0067209F"/>
    <w:rsid w:val="00721500"/>
    <w:rsid w:val="00750A4E"/>
    <w:rsid w:val="00775BFB"/>
    <w:rsid w:val="00955660"/>
    <w:rsid w:val="009656AE"/>
    <w:rsid w:val="00A17AA1"/>
    <w:rsid w:val="00AC27D2"/>
    <w:rsid w:val="00AD2462"/>
    <w:rsid w:val="00B01B96"/>
    <w:rsid w:val="00B322F9"/>
    <w:rsid w:val="00BC2008"/>
    <w:rsid w:val="00C6160D"/>
    <w:rsid w:val="00DD3BE5"/>
    <w:rsid w:val="00E337A2"/>
    <w:rsid w:val="00E74860"/>
    <w:rsid w:val="00EC3188"/>
    <w:rsid w:val="00FE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B1B8A"/>
  <w15:docId w15:val="{958AAEA9-9BDC-4153-8503-4A309B16A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C46A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535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35CC3"/>
  </w:style>
  <w:style w:type="paragraph" w:styleId="Pidipagina">
    <w:name w:val="footer"/>
    <w:basedOn w:val="Normale"/>
    <w:link w:val="PidipaginaCarattere"/>
    <w:uiPriority w:val="99"/>
    <w:unhideWhenUsed/>
    <w:rsid w:val="00535C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35CC3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cUaXgSKtku220JbKYmA9eCuVtg==">AMUW2mV3EsqUcp6gP2XbVPDevwu/e4wKCmAHKibYBLai4WwU2lpIRLNsHdFaTD6KPAm2BYheNMQ6u93oE4i7XltcF0XHOWuu5vTa6LeomjL5dJVggo/JdIk=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1194</Words>
  <Characters>6809</Characters>
  <Application>Microsoft Office Word</Application>
  <DocSecurity>0</DocSecurity>
  <Lines>56</Lines>
  <Paragraphs>15</Paragraphs>
  <ScaleCrop>false</ScaleCrop>
  <Company/>
  <LinksUpToDate>false</LinksUpToDate>
  <CharactersWithSpaces>7988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Beatrice Venturelli</dc:creator>
  <cp:lastModifiedBy>Maria Beatrice Venturelli</cp:lastModifiedBy>
  <cp:revision>9</cp:revision>
  <dcterms:created xsi:type="dcterms:W3CDTF">2023-05-14T09:55:00Z</dcterms:created>
  <dcterms:modified xsi:type="dcterms:W3CDTF">2023-05-14T10:03:00Z</dcterms:modified>
</cp:coreProperties>
</file>