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_Informatica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 coordinatore____Claudio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</w:t>
      </w:r>
      <w:r w:rsidDel="00000000" w:rsidR="00000000" w:rsidRPr="00000000">
        <w:rPr>
          <w:b w:val="1"/>
          <w:sz w:val="28"/>
          <w:szCs w:val="28"/>
          <w:rtl w:val="0"/>
        </w:rPr>
        <w:t xml:space="preserve">Educazione Civica e cittadinanza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e36c09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23ckvvd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80"/>
        <w:tblGridChange w:id="0">
          <w:tblGrid>
            <w:gridCol w:w="8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Educazione alla salute e al benessere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Bioetica - principi fondamentali, Engelheardt e Singer, Legge 194/78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The British Government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Sistemi elettorali italiani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Razzismo biologico e razzismo sociale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Verità scientifiche e verità sociali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Le guerre informatiche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Le ragioni della pace</w:t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A/jz30Ix7/B/C0sJV5SfF8az5A==">CgMxLjAyCGguZ2pkZ3hzMgloLjIzY2t2dmQ4AHIhMVNYUWE0ZGZUT01GUjBURFBFeUZ2LW9nTTNORHRhOTNa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2021-05-11T06:56:00Z</dcterms:created>
  <dc:creator>EVANGELISTA CLAUDIO (dEVANGEL)</dc:creator>
</cp:coreProperties>
</file>