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" w:right="0" w:hanging="43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0"/>
        <w:pageBreakBefore w:val="0"/>
        <w:widowControl w:val="1"/>
        <w:numPr>
          <w:ilvl w:val="4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100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ab/>
        <w:t xml:space="preserve">Indirizzo _Biotecnologie </w:t>
      </w:r>
      <w:r w:rsidDel="00000000" w:rsidR="00000000" w:rsidRPr="00000000">
        <w:rPr>
          <w:b w:val="1"/>
          <w:sz w:val="28"/>
          <w:szCs w:val="28"/>
          <w:rtl w:val="0"/>
        </w:rPr>
        <w:t xml:space="preserve">Sanitarie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Insegnante____Claudio Evangelista__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Materia __Religione Cattolica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Ateismo, agnosticismo, nichilismo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L’ateismo filosofico: Lucrezio, Democrito, D’Holbach, DeSade, Marx, Freud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L’agnosticismo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Il nichilismo filosofico: Nietzsche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Bioetica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sz w:val="28"/>
          <w:szCs w:val="28"/>
          <w:rtl w:val="0"/>
        </w:rPr>
        <w:t xml:space="preserve">I principi della bioetica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Il pensiero di Engelheardt e Singer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La legge 194/78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L’ibridazione uomo-macchina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footerReference r:id="rId10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