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360" w:line="276" w:lineRule="auto"/>
        <w:ind w:right="5918.4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 Livello 4 transport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0" w:right="4862.4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Tipo di connessioni, ARQ, three-way handshake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0" w:right="2826.8503937007877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Protocollo UDP: pacchetto UDP, IGMP e UDP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0" w:right="2968.5826771653547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Protocollo TCP: pacchetto TCP, connessione-disconnessione TCP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340.79999999999995" w:line="276" w:lineRule="auto"/>
        <w:ind w:right="3960.708661417324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 Livello 7 application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38.4" w:line="276" w:lineRule="auto"/>
        <w:ind w:left="0" w:right="6465.599999999999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DHCP, sicurezza in DHCP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38.4" w:line="276" w:lineRule="auto"/>
        <w:ind w:left="0" w:right="3535.511811023622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DNS, sicurezza DNS, protocollo DNS</w:t>
      </w:r>
    </w:p>
    <w:p w:rsidR="00000000" w:rsidDel="00000000" w:rsidP="00000000" w:rsidRDefault="00000000" w:rsidRPr="00000000" w14:paraId="00000008">
      <w:pPr>
        <w:pageBreakBefore w:val="0"/>
        <w:widowControl w:val="0"/>
        <w:spacing w:before="38.4" w:line="276" w:lineRule="auto"/>
        <w:ind w:left="0" w:right="3535.511811023622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Reti Microsoft: workgroup e dominio</w:t>
      </w:r>
    </w:p>
    <w:p w:rsidR="00000000" w:rsidDel="00000000" w:rsidP="00000000" w:rsidRDefault="00000000" w:rsidRPr="00000000" w14:paraId="00000009">
      <w:pPr>
        <w:pageBreakBefore w:val="0"/>
        <w:widowControl w:val="0"/>
        <w:spacing w:before="38.4" w:line="276" w:lineRule="auto"/>
        <w:ind w:left="0" w:right="3535.5118110236226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 xml:space="preserve">protocolli SMB, LDAP, HTTP.</w:t>
      </w:r>
    </w:p>
    <w:p w:rsidR="00000000" w:rsidDel="00000000" w:rsidP="00000000" w:rsidRDefault="00000000" w:rsidRPr="00000000" w14:paraId="0000000A">
      <w:pPr>
        <w:pageBreakBefore w:val="0"/>
        <w:widowControl w:val="0"/>
        <w:spacing w:before="38.4" w:line="276" w:lineRule="auto"/>
        <w:ind w:right="1976.456692913386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Packet tracer:</w:t>
      </w:r>
      <w:r w:rsidDel="00000000" w:rsidR="00000000" w:rsidRPr="00000000">
        <w:rPr>
          <w:rFonts w:ascii="Arial" w:cs="Arial" w:eastAsia="Arial" w:hAnsi="Arial"/>
          <w:rtl w:val="0"/>
        </w:rPr>
        <w:t xml:space="preserve"> progettazione di reti con i protocolli DHCP, DNS e HTTP</w:t>
      </w:r>
    </w:p>
    <w:p w:rsidR="00000000" w:rsidDel="00000000" w:rsidP="00000000" w:rsidRDefault="00000000" w:rsidRPr="00000000" w14:paraId="0000000B">
      <w:pPr>
        <w:pageBreakBefore w:val="0"/>
        <w:widowControl w:val="0"/>
        <w:spacing w:before="340.79999999999995" w:line="276" w:lineRule="auto"/>
        <w:ind w:right="417.401574803150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 Internetworking</w:t>
        <w:br w:type="textWrapping"/>
      </w:r>
      <w:r w:rsidDel="00000000" w:rsidR="00000000" w:rsidRPr="00000000">
        <w:rPr>
          <w:rFonts w:ascii="Arial" w:cs="Arial" w:eastAsia="Arial" w:hAnsi="Arial"/>
          <w:rtl w:val="0"/>
        </w:rPr>
        <w:t xml:space="preserve">NAT, sicurezza NAT</w:t>
        <w:br w:type="textWrapping"/>
        <w:t xml:space="preserve">Firewall</w:t>
        <w:br w:type="textWrapping"/>
        <w:t xml:space="preserve">ACL</w:t>
        <w:br w:type="textWrapping"/>
        <w:t xml:space="preserve">Sicurezza Firewall, tipi di attacco</w:t>
        <w:br w:type="textWrapping"/>
        <w:t xml:space="preserve">PROXY, diversi utilizzi del server proxy</w:t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Packet tracer:</w:t>
      </w:r>
      <w:r w:rsidDel="00000000" w:rsidR="00000000" w:rsidRPr="00000000">
        <w:rPr>
          <w:rFonts w:ascii="Arial" w:cs="Arial" w:eastAsia="Arial" w:hAnsi="Arial"/>
          <w:rtl w:val="0"/>
        </w:rPr>
        <w:t xml:space="preserve"> progettazione di reti con i protocolli SNAT, DNAT.</w:t>
        <w:br w:type="textWrapping"/>
        <w:t xml:space="preserve">Implementazione di firewall con ACL</w:t>
      </w:r>
    </w:p>
    <w:p w:rsidR="00000000" w:rsidDel="00000000" w:rsidP="00000000" w:rsidRDefault="00000000" w:rsidRPr="00000000" w14:paraId="0000000C">
      <w:pPr>
        <w:pageBreakBefore w:val="0"/>
        <w:widowControl w:val="0"/>
        <w:spacing w:before="340.79999999999995" w:line="276" w:lineRule="auto"/>
        <w:ind w:right="2401.653543307086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4. Modelli di rete</w:t>
        <w:br w:type="textWrapping"/>
      </w:r>
      <w:r w:rsidDel="00000000" w:rsidR="00000000" w:rsidRPr="00000000">
        <w:rPr>
          <w:rFonts w:ascii="Arial" w:cs="Arial" w:eastAsia="Arial" w:hAnsi="Arial"/>
          <w:rtl w:val="0"/>
        </w:rPr>
        <w:t xml:space="preserve">Reti residenziali,</w:t>
        <w:br w:type="textWrapping"/>
        <w:t xml:space="preserve">single-dual homed, </w:t>
        <w:br w:type="textWrapping"/>
        <w:t xml:space="preserve">trust-DMZ, </w:t>
        <w:br w:type="textWrapping"/>
        <w:t xml:space="preserve">Reti Microsoft</w:t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Packet tracer:</w:t>
      </w:r>
      <w:r w:rsidDel="00000000" w:rsidR="00000000" w:rsidRPr="00000000">
        <w:rPr>
          <w:rFonts w:ascii="Arial" w:cs="Arial" w:eastAsia="Arial" w:hAnsi="Arial"/>
          <w:rtl w:val="0"/>
        </w:rPr>
        <w:t xml:space="preserve"> progettazione di reti dual-homed e trust-DMZ.</w:t>
      </w:r>
    </w:p>
    <w:p w:rsidR="00000000" w:rsidDel="00000000" w:rsidP="00000000" w:rsidRDefault="00000000" w:rsidRPr="00000000" w14:paraId="0000000D">
      <w:pPr>
        <w:pageBreakBefore w:val="0"/>
        <w:widowControl w:val="0"/>
        <w:spacing w:before="340.79999999999995" w:line="276" w:lineRule="auto"/>
        <w:ind w:right="133.93700787401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5. Accesso da remoto</w:t>
        <w:br w:type="textWrapping"/>
      </w:r>
      <w:r w:rsidDel="00000000" w:rsidR="00000000" w:rsidRPr="00000000">
        <w:rPr>
          <w:rFonts w:ascii="Arial" w:cs="Arial" w:eastAsia="Arial" w:hAnsi="Arial"/>
          <w:rtl w:val="0"/>
        </w:rPr>
        <w:t xml:space="preserve">Tunnelling</w:t>
        <w:br w:type="textWrapping"/>
        <w:t xml:space="preserve">Terminale e desktop remoti</w:t>
        <w:br w:type="textWrapping"/>
        <w:t xml:space="preserve">VPN</w:t>
        <w:br w:type="textWrapping"/>
        <w:t xml:space="preserve">Cloud computing (Saas, Paas, BPaaS, IaaS)</w:t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Packet tracer:</w:t>
      </w:r>
      <w:r w:rsidDel="00000000" w:rsidR="00000000" w:rsidRPr="00000000">
        <w:rPr>
          <w:rFonts w:ascii="Arial" w:cs="Arial" w:eastAsia="Arial" w:hAnsi="Arial"/>
          <w:rtl w:val="0"/>
        </w:rPr>
        <w:t xml:space="preserve"> realizzazione di VPN per organizzazioni dislocate in diverse regioni geografiche: host-to-LAN, LAN-to-LAN.</w:t>
      </w:r>
    </w:p>
    <w:p w:rsidR="00000000" w:rsidDel="00000000" w:rsidP="00000000" w:rsidRDefault="00000000" w:rsidRPr="00000000" w14:paraId="0000000E">
      <w:pPr>
        <w:pageBreakBefore w:val="0"/>
        <w:widowControl w:val="0"/>
        <w:spacing w:before="340.79999999999995" w:line="276" w:lineRule="auto"/>
        <w:ind w:right="559.1338582677173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6. Sicurezza</w:t>
        <w:br w:type="textWrapping"/>
      </w:r>
      <w:r w:rsidDel="00000000" w:rsidR="00000000" w:rsidRPr="00000000">
        <w:rPr>
          <w:rFonts w:ascii="Arial" w:cs="Arial" w:eastAsia="Arial" w:hAnsi="Arial"/>
          <w:rtl w:val="0"/>
        </w:rPr>
        <w:t xml:space="preserve">Crittografia simmetrica e asimmetrica</w:t>
        <w:br w:type="textWrapping"/>
        <w:tab/>
        <w:t xml:space="preserve">cifratura per sostituzione e per trasposizione;</w:t>
        <w:br w:type="textWrapping"/>
        <w:t xml:space="preserve">HASH;</w:t>
        <w:br w:type="textWrapping"/>
        <w:t xml:space="preserve">Autenticazione;</w:t>
        <w:br w:type="textWrapping"/>
        <w:tab/>
        <w:t xml:space="preserve">Password, sfida e risposta, Diffie-Hellman</w:t>
        <w:br w:type="textWrapping"/>
        <w:t xml:space="preserve">Firma digitale;</w:t>
        <w:br w:type="textWrapping"/>
        <w:t xml:space="preserve">Blockchain;</w:t>
        <w:br w:type="textWrapping"/>
        <w:t xml:space="preserve">CA (Certificate authority)</w:t>
        <w:br w:type="textWrapping"/>
        <w:t xml:space="preserve">Protocolli di sicurezza: </w:t>
        <w:br w:type="textWrapping"/>
        <w:tab/>
        <w:t xml:space="preserve">EAP (CHAP, WPA2)</w:t>
        <w:br w:type="textWrapping"/>
        <w:tab/>
        <w:t xml:space="preserve">RADIUS</w:t>
        <w:br w:type="textWrapping"/>
        <w:tab/>
        <w:t xml:space="preserve">KERBEROS</w:t>
        <w:br w:type="textWrapping"/>
        <w:tab/>
        <w:t xml:space="preserve">IPSEC</w:t>
        <w:br w:type="textWrapping"/>
        <w:tab/>
        <w:t xml:space="preserve">SSL/TLS (HTTPS)</w:t>
        <w:br w:type="textWrapping"/>
        <w:tab/>
        <w:t xml:space="preserve">gestione dei certificati.</w:t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Packet tracer:</w:t>
      </w:r>
      <w:r w:rsidDel="00000000" w:rsidR="00000000" w:rsidRPr="00000000">
        <w:rPr>
          <w:rFonts w:ascii="Arial" w:cs="Arial" w:eastAsia="Arial" w:hAnsi="Arial"/>
          <w:rtl w:val="0"/>
        </w:rPr>
        <w:t xml:space="preserve"> realizzazione di reti WIFI con WPA2. </w:t>
        <w:br w:type="textWrapping"/>
        <w:t xml:space="preserve">Server HTTP2/2 con nodejs attraverso connessione SSL/TLS certificata (HTTPS).</w:t>
      </w:r>
    </w:p>
    <w:p w:rsidR="00000000" w:rsidDel="00000000" w:rsidP="00000000" w:rsidRDefault="00000000" w:rsidRPr="00000000" w14:paraId="0000000F">
      <w:pPr>
        <w:pageBreakBefore w:val="0"/>
        <w:widowControl w:val="0"/>
        <w:spacing w:before="340.79999999999995" w:line="276" w:lineRule="auto"/>
        <w:ind w:right="3960.708661417324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Libro di testo e materiali </w:t>
      </w:r>
    </w:p>
    <w:p w:rsidR="00000000" w:rsidDel="00000000" w:rsidP="00000000" w:rsidRDefault="00000000" w:rsidRPr="00000000" w14:paraId="00000010">
      <w:pPr>
        <w:pageBreakBefore w:val="0"/>
        <w:widowControl w:val="0"/>
        <w:spacing w:before="38.4"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• Ollari, Paolo — Corso di Sistemi e Reti, volume 3 — Zanichelli, integrato con materiale del docente (Classroom).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after="20" w:lineRule="auto"/>
        <w:ind w:left="180" w:hanging="180"/>
        <w:jc w:val="center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jc w:val="center"/>
      <w:rPr/>
    </w:pPr>
    <w:r w:rsidDel="00000000" w:rsidR="00000000" w:rsidRPr="00000000">
      <w:rPr/>
      <w:drawing>
        <wp:inline distB="0" distT="0" distL="0" distR="0">
          <wp:extent cx="6120130" cy="411475"/>
          <wp:effectExtent b="0" l="0" r="0" t="0"/>
          <wp:docPr descr="C:\Documents and Settings\rincerti\Desktop\logo_frontrit.png" id="9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0130" cy="4114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spacing w:after="2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15">
    <w:pPr>
      <w:spacing w:after="20" w:before="240" w:lineRule="auto"/>
      <w:ind w:left="181" w:firstLine="0"/>
      <w:jc w:val="center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Fonts w:ascii="Arial" w:cs="Arial" w:eastAsia="Arial" w:hAnsi="Arial"/>
        <w:sz w:val="28"/>
        <w:szCs w:val="28"/>
        <w:rtl w:val="0"/>
      </w:rPr>
      <w:t xml:space="preserve">Elementi fondamentali della disciplina</w:t>
    </w:r>
  </w:p>
  <w:p w:rsidR="00000000" w:rsidDel="00000000" w:rsidP="00000000" w:rsidRDefault="00000000" w:rsidRPr="00000000" w14:paraId="00000016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Sistemi e reti</w:t>
    </w:r>
  </w:p>
  <w:p w:rsidR="00000000" w:rsidDel="00000000" w:rsidP="00000000" w:rsidRDefault="00000000" w:rsidRPr="00000000" w14:paraId="00000017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  <w:i w:val="1"/>
        <w:rtl w:val="0"/>
      </w:rPr>
      <w:t xml:space="preserve">Programma 2024/2025</w:t>
    </w:r>
  </w:p>
  <w:p w:rsidR="00000000" w:rsidDel="00000000" w:rsidP="00000000" w:rsidRDefault="00000000" w:rsidRPr="00000000" w14:paraId="00000018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Informatica</w:t>
    </w:r>
  </w:p>
  <w:p w:rsidR="00000000" w:rsidDel="00000000" w:rsidP="00000000" w:rsidRDefault="00000000" w:rsidRPr="00000000" w14:paraId="00000019">
    <w:pPr>
      <w:spacing w:after="20" w:lineRule="auto"/>
      <w:ind w:left="180" w:firstLine="0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flptdiwf9doo" w:id="1"/>
    <w:bookmarkEnd w:id="1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n7bzky3i05io" w:id="2"/>
    <w:bookmarkEnd w:id="2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tngosw7pmqc5" w:id="3"/>
    <w:bookmarkEnd w:id="3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ageBreakBefore w:val="0"/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e" w:default="1">
    <w:name w:val="Normal"/>
    <w:qFormat w:val="1"/>
    <w:rsid w:val="00C0321B"/>
    <w:pPr>
      <w:spacing w:after="0" w:line="240" w:lineRule="auto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qFormat w:val="1"/>
    <w:rsid w:val="00C0321B"/>
    <w:pPr>
      <w:keepNext w:val="1"/>
      <w:keepLines w:val="1"/>
      <w:outlineLvl w:val="0"/>
    </w:pPr>
    <w:rPr>
      <w:rFonts w:cstheme="majorBidi" w:eastAsiaTheme="majorEastAsia"/>
      <w:b w:val="1"/>
      <w:bCs w:val="1"/>
      <w:sz w:val="40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0321B"/>
    <w:pPr>
      <w:keepNext w:val="1"/>
      <w:keepLines w:val="1"/>
      <w:outlineLvl w:val="1"/>
    </w:pPr>
    <w:rPr>
      <w:rFonts w:cstheme="majorBidi" w:eastAsiaTheme="majorEastAsia"/>
      <w:b w:val="1"/>
      <w:bCs w:val="1"/>
      <w:sz w:val="28"/>
      <w:szCs w:val="26"/>
    </w:rPr>
  </w:style>
  <w:style w:type="paragraph" w:styleId="Titolo3">
    <w:name w:val="heading 3"/>
    <w:basedOn w:val="Normale"/>
    <w:next w:val="Normale"/>
    <w:link w:val="Titolo3Carattere"/>
    <w:qFormat w:val="1"/>
    <w:rsid w:val="00677669"/>
    <w:pPr>
      <w:keepNext w:val="1"/>
      <w:jc w:val="center"/>
      <w:outlineLvl w:val="2"/>
    </w:pPr>
    <w:rPr>
      <w:rFonts w:cs="Times New Roman" w:eastAsia="Times New Roman"/>
      <w:b w:val="1"/>
      <w:bCs w:val="1"/>
      <w:i w:val="1"/>
      <w:iCs w:val="1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C0321B"/>
    <w:rPr>
      <w:rFonts w:ascii="Times New Roman" w:hAnsi="Times New Roman" w:cstheme="majorBidi" w:eastAsiaTheme="majorEastAsia"/>
      <w:b w:val="1"/>
      <w:bCs w:val="1"/>
      <w:sz w:val="40"/>
      <w:szCs w:val="28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0321B"/>
    <w:rPr>
      <w:rFonts w:ascii="Times New Roman" w:hAnsi="Times New Roman" w:cstheme="majorBidi" w:eastAsiaTheme="majorEastAsia"/>
      <w:b w:val="1"/>
      <w:bCs w:val="1"/>
      <w:sz w:val="28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C0321B"/>
    <w:pPr>
      <w:pBdr>
        <w:bottom w:color="4f81bd" w:space="4" w:sz="8" w:themeColor="accent1" w:val="single"/>
      </w:pBdr>
      <w:contextualSpacing w:val="1"/>
    </w:pPr>
    <w:rPr>
      <w:rFonts w:cstheme="majorBidi" w:eastAsiaTheme="majorEastAsia"/>
      <w:spacing w:val="5"/>
      <w:kern w:val="28"/>
      <w:sz w:val="52"/>
      <w:szCs w:val="52"/>
    </w:rPr>
  </w:style>
  <w:style w:type="character" w:styleId="TitoloCarattere" w:customStyle="1">
    <w:name w:val="Titolo Carattere"/>
    <w:basedOn w:val="Carpredefinitoparagrafo"/>
    <w:link w:val="Titolo"/>
    <w:uiPriority w:val="10"/>
    <w:rsid w:val="00C0321B"/>
    <w:rPr>
      <w:rFonts w:ascii="Times New Roman" w:hAnsi="Times New Roman" w:cstheme="majorBidi" w:eastAsiaTheme="majorEastAsia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77669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77669"/>
    <w:rPr>
      <w:rFonts w:ascii="Tahoma" w:cs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67766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3Carattere" w:customStyle="1">
    <w:name w:val="Titolo 3 Carattere"/>
    <w:basedOn w:val="Carpredefinitoparagrafo"/>
    <w:link w:val="Titolo3"/>
    <w:rsid w:val="00677669"/>
    <w:rPr>
      <w:rFonts w:ascii="Times New Roman" w:cs="Times New Roman" w:eastAsia="Times New Roman" w:hAnsi="Times New Roman"/>
      <w:b w:val="1"/>
      <w:bCs w:val="1"/>
      <w:i w:val="1"/>
      <w:iCs w:val="1"/>
      <w:lang w:eastAsia="it-IT"/>
    </w:rPr>
  </w:style>
  <w:style w:type="paragraph" w:styleId="Default" w:customStyle="1">
    <w:name w:val="Default"/>
    <w:rsid w:val="0067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 w:val="1"/>
    <w:rsid w:val="0035483C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E20A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E20A9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5E20A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5E20A9"/>
    <w:rPr>
      <w:rFonts w:ascii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6XLAIgUPOcDb0eYWyVHQxCWb1Q==">CgMxLjAyCGguZ2pkZ3hzMg5oLmZscHRkaXdmOWRvbzIOaC5uN2J6a3kzaTA1aW8yDmgudG5nb3N3N3BtcWM1OAByITFucW41NG5HWTBHS1d5ZnZSYTZBek10N2oxZHFXVGp2aA==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2016-09-08T15:49:00Z</dcterms:created>
</cp:coreProperties>
</file>