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0"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1: Introduzione alle applicazioni web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Richieste e risposte con Google books: porre richieste e gestire risposte lato client con jason-p.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programmazione asincrona: le funzioni di callback, le promise, utilizzo di .then, .catch, async e await.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2: Il protocollo HTTP</w:t>
        <w:br w:type="textWrapping"/>
        <w:t xml:space="preserve">Cenni storici e evoluzione delle sue versioni fino a HTTP3.</w:t>
        <w:br w:type="textWrapping"/>
        <w:t xml:space="preserve">Web: il Browser, HTML e HTTP</w:t>
        <w:br w:type="textWrapping"/>
        <w:t xml:space="preserve">Struttura delle richieste e delle risposte analisi degli header, degli status e dei metodi. Interrogazione HTTP tramite xmlhttprequest, lo header readystate. I proxy e il loro utilizzo in internet, i CDN.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Nodejs, installazione e “Hello world”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Funzioni sincrone e asincrone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semplice sito statico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sito statico in grado di gestire le FORM e controllare i valori inseriti sia lato server che lato client.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3: UDP e TCP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socket e i protocolli per la comunicazione di rete. 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tipi di socket e le loro API: stream socket, datagram socket e Multicast. Confronto tra UDP e TCP in diversi contesti applicativi. Socket e architetture client-server e peer to peer.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 programmazione in java di semplici applicativi con l’utilizzo di datagram socket, stream socket e multicastsocket: applicazione peer to peer, client-server, multi server e “faro”.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4: Architettura dei sistemi distribuiti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ai sistemi distribuiti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tassonomia di Flynn. Cluster, grid computing e sistemi pervasivi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Web centric, cooperativa, completamente distribuita e a livelli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a 1-&gt;3 strati e multilayer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Architetture client-server, peer to peer e ibride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 programmazione con Javascript e Node.js per realizzare siti statici e dinamici. Utilizzo del framework express e implementazione di programmazione multilivello. Utilizzo dei middleware in express. Superamento dell’architettura client-server utilizzando le websocket. Utilizzo di PUG per la produzione di pagine statiche e dinamiche. Utilizzo di JWT per l’autenticazione.</w:t>
      </w:r>
    </w:p>
    <w:p w:rsidR="00000000" w:rsidDel="00000000" w:rsidP="00000000" w:rsidRDefault="00000000" w:rsidRPr="00000000" w14:paraId="0000001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Scalabilità orizzontale e verticale con l’utilizzo dei thread in node.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5: i web service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Interrogazione di procedure remote: protocollo SOAP e REST, definizioni, campi di utilizzo e comparazione. Json e xml, la Same Origin Policy e CORS, i rischi informatici dovuti agli attacchi XSS e CSRF. Web service e database: database relazionali e non relazionali. Scalabilità orizzontale e verticale attraverso l’utilizzo di thread in node.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 esercitazione nella creazione di web service REST, utilizzo di JSON e script per la creazione di thread in node. Creazione di database non relazionali tramite web service Atlas con mongo db. Esempi di utilizzo dell’ODM Mongoose e dell’ORM Sequelize per la programmazione lato server con i database relazionali e non relazionali.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6: sistemi operativi per i dispositivi mobili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IOS, Android e Microsoft Phone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Esercitazione di Laboratorio finale: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Gli alunni, a piccoli gruppi, hanno realizzato una web-app e almeno un web-service che interagendo fra loro producessero un sito in grado di raccogliere e presentare informazioni agli utenti sugli argomenti scelti.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Libro di testo e altro materiale: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TECNOLOGIE E PROGETTAZIONE DI SISTEMI INFORMATICI E DI TELECOMUNICAZIONI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VOL 3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Paolo Camagni Riccardo Nikolassy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HOEPLI Editore;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Appunti e presentazioni distribuite dai docenti.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20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spacing w:after="20" w:lineRule="auto"/>
      <w:ind w:left="180" w:firstLine="0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32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2024-2025</w:t>
    </w:r>
  </w:p>
  <w:p w:rsidR="00000000" w:rsidDel="00000000" w:rsidP="00000000" w:rsidRDefault="00000000" w:rsidRPr="00000000" w14:paraId="00000033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i w:val="1"/>
        <w:rtl w:val="0"/>
      </w:rPr>
      <w:t xml:space="preserve">Programma</w:t>
    </w:r>
  </w:p>
  <w:p w:rsidR="00000000" w:rsidDel="00000000" w:rsidP="00000000" w:rsidRDefault="00000000" w:rsidRPr="00000000" w14:paraId="00000034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5B Informatica</w:t>
    </w:r>
  </w:p>
  <w:p w:rsidR="00000000" w:rsidDel="00000000" w:rsidP="00000000" w:rsidRDefault="00000000" w:rsidRPr="00000000" w14:paraId="00000035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</w:p>
  <w:p w:rsidR="00000000" w:rsidDel="00000000" w:rsidP="00000000" w:rsidRDefault="00000000" w:rsidRPr="00000000" w14:paraId="00000036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21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3A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3C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2020-2021</w:t>
    </w:r>
  </w:p>
  <w:p w:rsidR="00000000" w:rsidDel="00000000" w:rsidP="00000000" w:rsidRDefault="00000000" w:rsidRPr="00000000" w14:paraId="0000003D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svolto</w:t>
    </w:r>
  </w:p>
  <w:p w:rsidR="00000000" w:rsidDel="00000000" w:rsidP="00000000" w:rsidRDefault="00000000" w:rsidRPr="00000000" w14:paraId="0000003E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3F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spacing w:after="20" w:lineRule="auto"/>
      <w:ind w:left="180" w:firstLine="0"/>
      <w:jc w:val="center"/>
      <w:rPr/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8614bY81nXJRD6jWOgbDNWCx3Q==">CgMxLjAyCGguZ2pkZ3hzMg5oLmZscHRkaXdmOWRvbzIOaC5uN2J6a3kzaTA1aW84AHIhMU9ILU0zUWFIRjlKTlJGRzlmLVN6NkpOYUl6Wmw5bXct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